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DE" w:rsidRDefault="002451DE" w:rsidP="002451DE">
      <w:pPr>
        <w:pStyle w:val="Heading1"/>
        <w:rPr>
          <w:rFonts w:ascii="Book Antiqua" w:hAnsi="Book Antiqua"/>
          <w:sz w:val="24"/>
          <w:szCs w:val="24"/>
          <w:lang w:val="en"/>
        </w:rPr>
      </w:pPr>
      <w:bookmarkStart w:id="0" w:name="_GoBack"/>
      <w:bookmarkEnd w:id="0"/>
      <w:r w:rsidRPr="002451DE">
        <w:rPr>
          <w:rFonts w:ascii="Book Antiqua" w:hAnsi="Book Antiqua"/>
          <w:sz w:val="24"/>
          <w:szCs w:val="24"/>
          <w:lang w:val="en"/>
        </w:rPr>
        <w:t>Southwell v Blackburn [2014] EWCA Civ 1347</w:t>
      </w:r>
    </w:p>
    <w:p w:rsidR="002451DE" w:rsidRDefault="002451DE"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This is a useful case when looking at the findings that a court </w:t>
      </w:r>
      <w:r w:rsidR="000334FC">
        <w:rPr>
          <w:rFonts w:ascii="Book Antiqua" w:hAnsi="Book Antiqua"/>
          <w:sz w:val="24"/>
          <w:szCs w:val="24"/>
          <w:lang w:val="en"/>
        </w:rPr>
        <w:t xml:space="preserve">makes </w:t>
      </w:r>
      <w:r w:rsidRPr="0060224F">
        <w:rPr>
          <w:rFonts w:ascii="Book Antiqua" w:hAnsi="Book Antiqua"/>
          <w:sz w:val="24"/>
          <w:szCs w:val="24"/>
          <w:lang w:val="en"/>
        </w:rPr>
        <w:t>in relation to the criteria for establishing and satisfying a party’s e</w:t>
      </w:r>
      <w:r w:rsidR="0025052E" w:rsidRPr="0060224F">
        <w:rPr>
          <w:rFonts w:ascii="Book Antiqua" w:hAnsi="Book Antiqua"/>
          <w:sz w:val="24"/>
          <w:szCs w:val="24"/>
          <w:lang w:val="en"/>
        </w:rPr>
        <w:t xml:space="preserve">quitable </w:t>
      </w:r>
      <w:r w:rsidRPr="0060224F">
        <w:rPr>
          <w:rFonts w:ascii="Book Antiqua" w:hAnsi="Book Antiqua"/>
          <w:sz w:val="24"/>
          <w:szCs w:val="24"/>
          <w:lang w:val="en"/>
        </w:rPr>
        <w:t>inter</w:t>
      </w:r>
      <w:r w:rsidR="0025052E" w:rsidRPr="0060224F">
        <w:rPr>
          <w:rFonts w:ascii="Book Antiqua" w:hAnsi="Book Antiqua"/>
          <w:sz w:val="24"/>
          <w:szCs w:val="24"/>
          <w:lang w:val="en"/>
        </w:rPr>
        <w:t>e</w:t>
      </w:r>
      <w:r w:rsidRPr="0060224F">
        <w:rPr>
          <w:rFonts w:ascii="Book Antiqua" w:hAnsi="Book Antiqua"/>
          <w:sz w:val="24"/>
          <w:szCs w:val="24"/>
          <w:lang w:val="en"/>
        </w:rPr>
        <w:t xml:space="preserve">st in a </w:t>
      </w:r>
      <w:r w:rsidR="003B6FC3" w:rsidRPr="0060224F">
        <w:rPr>
          <w:rFonts w:ascii="Book Antiqua" w:hAnsi="Book Antiqua"/>
          <w:sz w:val="24"/>
          <w:szCs w:val="24"/>
          <w:lang w:val="en"/>
        </w:rPr>
        <w:t>property</w:t>
      </w:r>
      <w:r w:rsidRPr="0060224F">
        <w:rPr>
          <w:rFonts w:ascii="Book Antiqua" w:hAnsi="Book Antiqua"/>
          <w:sz w:val="24"/>
          <w:szCs w:val="24"/>
          <w:lang w:val="en"/>
        </w:rPr>
        <w:t xml:space="preserve"> under the doctrine of proprietary estoppel. </w:t>
      </w:r>
    </w:p>
    <w:p w:rsidR="0060224F" w:rsidRPr="0060224F" w:rsidRDefault="0060224F" w:rsidP="0060224F">
      <w:pPr>
        <w:pStyle w:val="NoSpacing"/>
        <w:jc w:val="both"/>
        <w:rPr>
          <w:rFonts w:ascii="Book Antiqua" w:hAnsi="Book Antiqua"/>
          <w:sz w:val="24"/>
          <w:szCs w:val="24"/>
          <w:lang w:val="en"/>
        </w:rPr>
      </w:pPr>
    </w:p>
    <w:p w:rsidR="001F6FED" w:rsidRDefault="002451DE"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The court at first instance found that the parties had met when the </w:t>
      </w:r>
      <w:r w:rsidR="001F6FED" w:rsidRPr="0060224F">
        <w:rPr>
          <w:rFonts w:ascii="Book Antiqua" w:hAnsi="Book Antiqua"/>
          <w:sz w:val="24"/>
          <w:szCs w:val="24"/>
          <w:lang w:val="en"/>
        </w:rPr>
        <w:t xml:space="preserve">Respondent </w:t>
      </w:r>
      <w:r w:rsidR="003B6FC3" w:rsidRPr="0060224F">
        <w:rPr>
          <w:rFonts w:ascii="Book Antiqua" w:hAnsi="Book Antiqua"/>
          <w:sz w:val="24"/>
          <w:szCs w:val="24"/>
          <w:lang w:val="en"/>
        </w:rPr>
        <w:t>was divorced</w:t>
      </w:r>
      <w:r w:rsidR="001F6FED" w:rsidRPr="0060224F">
        <w:rPr>
          <w:rFonts w:ascii="Book Antiqua" w:hAnsi="Book Antiqua"/>
          <w:sz w:val="24"/>
          <w:szCs w:val="24"/>
          <w:lang w:val="en"/>
        </w:rPr>
        <w:t xml:space="preserve"> with two young children</w:t>
      </w:r>
      <w:r w:rsidR="003B6FC3" w:rsidRPr="0060224F">
        <w:rPr>
          <w:rFonts w:ascii="Book Antiqua" w:hAnsi="Book Antiqua"/>
          <w:sz w:val="24"/>
          <w:szCs w:val="24"/>
          <w:lang w:val="en"/>
        </w:rPr>
        <w:t>.</w:t>
      </w:r>
      <w:r w:rsidR="001F6FED" w:rsidRPr="0060224F">
        <w:rPr>
          <w:rFonts w:ascii="Book Antiqua" w:hAnsi="Book Antiqua"/>
          <w:sz w:val="24"/>
          <w:szCs w:val="24"/>
          <w:lang w:val="en"/>
        </w:rPr>
        <w:t xml:space="preserve"> She had had limited </w:t>
      </w:r>
      <w:r w:rsidR="003B6FC3" w:rsidRPr="0060224F">
        <w:rPr>
          <w:rFonts w:ascii="Book Antiqua" w:hAnsi="Book Antiqua"/>
          <w:sz w:val="24"/>
          <w:szCs w:val="24"/>
          <w:lang w:val="en"/>
        </w:rPr>
        <w:t>resources</w:t>
      </w:r>
      <w:r w:rsidR="001F6FED" w:rsidRPr="0060224F">
        <w:rPr>
          <w:rFonts w:ascii="Book Antiqua" w:hAnsi="Book Antiqua"/>
          <w:sz w:val="24"/>
          <w:szCs w:val="24"/>
          <w:lang w:val="en"/>
        </w:rPr>
        <w:t xml:space="preserve"> </w:t>
      </w:r>
      <w:r w:rsidR="00802803">
        <w:rPr>
          <w:rFonts w:ascii="Book Antiqua" w:hAnsi="Book Antiqua"/>
          <w:sz w:val="24"/>
          <w:szCs w:val="24"/>
          <w:lang w:val="en"/>
        </w:rPr>
        <w:t>after the marriage</w:t>
      </w:r>
      <w:r w:rsidR="001F6FED" w:rsidRPr="0060224F">
        <w:rPr>
          <w:rFonts w:ascii="Book Antiqua" w:hAnsi="Book Antiqua"/>
          <w:sz w:val="24"/>
          <w:szCs w:val="24"/>
          <w:lang w:val="en"/>
        </w:rPr>
        <w:t xml:space="preserve"> and </w:t>
      </w:r>
      <w:r w:rsidR="00802803">
        <w:rPr>
          <w:rFonts w:ascii="Book Antiqua" w:hAnsi="Book Antiqua"/>
          <w:sz w:val="24"/>
          <w:szCs w:val="24"/>
          <w:lang w:val="en"/>
        </w:rPr>
        <w:t xml:space="preserve">she </w:t>
      </w:r>
      <w:r w:rsidR="001F6FED" w:rsidRPr="0060224F">
        <w:rPr>
          <w:rFonts w:ascii="Book Antiqua" w:hAnsi="Book Antiqua"/>
          <w:sz w:val="24"/>
          <w:szCs w:val="24"/>
          <w:lang w:val="en"/>
        </w:rPr>
        <w:t xml:space="preserve">had secured a rented house upon which she spent some £15,000 to £20,000 in terms of fitting out and furnishing. </w:t>
      </w:r>
      <w:r w:rsidR="000334FC">
        <w:rPr>
          <w:rFonts w:ascii="Book Antiqua" w:hAnsi="Book Antiqua"/>
          <w:sz w:val="24"/>
          <w:szCs w:val="24"/>
          <w:lang w:val="en"/>
        </w:rPr>
        <w:t xml:space="preserve">After a few years of meeting the </w:t>
      </w:r>
      <w:r w:rsidR="001F6FED" w:rsidRPr="0060224F">
        <w:rPr>
          <w:rFonts w:ascii="Book Antiqua" w:hAnsi="Book Antiqua"/>
          <w:sz w:val="24"/>
          <w:szCs w:val="24"/>
          <w:lang w:val="en"/>
        </w:rPr>
        <w:t xml:space="preserve">parties </w:t>
      </w:r>
      <w:r w:rsidR="000334FC">
        <w:rPr>
          <w:rFonts w:ascii="Book Antiqua" w:hAnsi="Book Antiqua"/>
          <w:sz w:val="24"/>
          <w:szCs w:val="24"/>
          <w:lang w:val="en"/>
        </w:rPr>
        <w:t>start</w:t>
      </w:r>
      <w:r w:rsidR="00802803">
        <w:rPr>
          <w:rFonts w:ascii="Book Antiqua" w:hAnsi="Book Antiqua"/>
          <w:sz w:val="24"/>
          <w:szCs w:val="24"/>
          <w:lang w:val="en"/>
        </w:rPr>
        <w:t xml:space="preserve">ed to live </w:t>
      </w:r>
      <w:r w:rsidR="001F6FED" w:rsidRPr="0060224F">
        <w:rPr>
          <w:rFonts w:ascii="Book Antiqua" w:hAnsi="Book Antiqua"/>
          <w:sz w:val="24"/>
          <w:szCs w:val="24"/>
          <w:lang w:val="en"/>
        </w:rPr>
        <w:t xml:space="preserve">together as couple in a </w:t>
      </w:r>
      <w:r w:rsidR="003B6FC3" w:rsidRPr="0060224F">
        <w:rPr>
          <w:rFonts w:ascii="Book Antiqua" w:hAnsi="Book Antiqua"/>
          <w:sz w:val="24"/>
          <w:szCs w:val="24"/>
          <w:lang w:val="en"/>
        </w:rPr>
        <w:t>property</w:t>
      </w:r>
      <w:r w:rsidR="001F6FED" w:rsidRPr="0060224F">
        <w:rPr>
          <w:rFonts w:ascii="Book Antiqua" w:hAnsi="Book Antiqua"/>
          <w:sz w:val="24"/>
          <w:szCs w:val="24"/>
          <w:lang w:val="en"/>
        </w:rPr>
        <w:t xml:space="preserve"> which was </w:t>
      </w:r>
      <w:r w:rsidR="003B6FC3" w:rsidRPr="0060224F">
        <w:rPr>
          <w:rFonts w:ascii="Book Antiqua" w:hAnsi="Book Antiqua"/>
          <w:sz w:val="24"/>
          <w:szCs w:val="24"/>
          <w:lang w:val="en"/>
        </w:rPr>
        <w:t>purchased</w:t>
      </w:r>
      <w:r w:rsidR="001F6FED" w:rsidRPr="0060224F">
        <w:rPr>
          <w:rFonts w:ascii="Book Antiqua" w:hAnsi="Book Antiqua"/>
          <w:sz w:val="24"/>
          <w:szCs w:val="24"/>
          <w:lang w:val="en"/>
        </w:rPr>
        <w:t xml:space="preserve"> in the Appellant’s sole name by way of his deposit and a mortgage</w:t>
      </w:r>
      <w:r w:rsidR="000334FC">
        <w:rPr>
          <w:rFonts w:ascii="Book Antiqua" w:hAnsi="Book Antiqua"/>
          <w:sz w:val="24"/>
          <w:szCs w:val="24"/>
          <w:lang w:val="en"/>
        </w:rPr>
        <w:t xml:space="preserve"> in his name</w:t>
      </w:r>
      <w:r w:rsidR="001F6FED" w:rsidRPr="0060224F">
        <w:rPr>
          <w:rFonts w:ascii="Book Antiqua" w:hAnsi="Book Antiqua"/>
          <w:sz w:val="24"/>
          <w:szCs w:val="24"/>
          <w:lang w:val="en"/>
        </w:rPr>
        <w:t xml:space="preserve">. </w:t>
      </w:r>
    </w:p>
    <w:p w:rsidR="0060224F" w:rsidRPr="0060224F" w:rsidRDefault="0060224F" w:rsidP="0060224F">
      <w:pPr>
        <w:pStyle w:val="NoSpacing"/>
        <w:jc w:val="both"/>
        <w:rPr>
          <w:rFonts w:ascii="Book Antiqua" w:hAnsi="Book Antiqua"/>
          <w:sz w:val="24"/>
          <w:szCs w:val="24"/>
          <w:lang w:val="en"/>
        </w:rPr>
      </w:pPr>
    </w:p>
    <w:p w:rsidR="00182CB4" w:rsidRDefault="001F6FED"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The conclusion of the first instance judge was that it was </w:t>
      </w:r>
      <w:r w:rsidR="002451DE" w:rsidRPr="0060224F">
        <w:rPr>
          <w:rFonts w:ascii="Book Antiqua" w:hAnsi="Book Antiqua"/>
          <w:sz w:val="24"/>
          <w:szCs w:val="24"/>
          <w:lang w:val="en"/>
        </w:rPr>
        <w:t xml:space="preserve">most unlikely that the Appellant would have or did make any clear promise to the Respondent that she would become an equal owner in the house with him or that he had promised her that she would at some future date. As such the judge did not find that there was a constructive trust. </w:t>
      </w:r>
      <w:r w:rsidR="003B6FC3" w:rsidRPr="0060224F">
        <w:rPr>
          <w:rFonts w:ascii="Book Antiqua" w:hAnsi="Book Antiqua"/>
          <w:sz w:val="24"/>
          <w:szCs w:val="24"/>
          <w:lang w:val="en"/>
        </w:rPr>
        <w:t xml:space="preserve">However, the judge did find that she had an equitable interest under the doctrine of proprietary estoppel. This was on the basis that it was found that although the discussions between them were not specific as to ownership of the home that they were specific as to the nature and extent of his commitment to her and the provision of secure accommodation for her.  </w:t>
      </w:r>
      <w:r w:rsidR="002451DE" w:rsidRPr="0060224F">
        <w:rPr>
          <w:rFonts w:ascii="Book Antiqua" w:hAnsi="Book Antiqua"/>
          <w:sz w:val="24"/>
          <w:szCs w:val="24"/>
          <w:lang w:val="en"/>
        </w:rPr>
        <w:t>He promised her secure rights of occupation at the house that they were in effect buying together, although in his sole name.  He led her to believe that she would have the sort of security that a wife would have, in terms of accommodation at the house, and income</w:t>
      </w:r>
      <w:r w:rsidRPr="0060224F">
        <w:rPr>
          <w:rFonts w:ascii="Book Antiqua" w:hAnsi="Book Antiqua"/>
          <w:sz w:val="24"/>
          <w:szCs w:val="24"/>
          <w:lang w:val="en"/>
        </w:rPr>
        <w:t xml:space="preserve"> and that the Respondent </w:t>
      </w:r>
      <w:r w:rsidR="002451DE" w:rsidRPr="0060224F">
        <w:rPr>
          <w:rFonts w:ascii="Book Antiqua" w:hAnsi="Book Antiqua"/>
          <w:sz w:val="24"/>
          <w:szCs w:val="24"/>
          <w:lang w:val="en"/>
        </w:rPr>
        <w:t>relied on that.  Without such promise and assurance she would not have</w:t>
      </w:r>
      <w:r w:rsidR="0060224F" w:rsidRPr="0060224F">
        <w:rPr>
          <w:rFonts w:ascii="Book Antiqua" w:hAnsi="Book Antiqua"/>
          <w:sz w:val="24"/>
          <w:szCs w:val="24"/>
          <w:lang w:val="en"/>
        </w:rPr>
        <w:t xml:space="preserve"> </w:t>
      </w:r>
      <w:r w:rsidR="002451DE" w:rsidRPr="0060224F">
        <w:rPr>
          <w:rFonts w:ascii="Book Antiqua" w:hAnsi="Book Antiqua"/>
          <w:sz w:val="24"/>
          <w:szCs w:val="24"/>
          <w:lang w:val="en"/>
        </w:rPr>
        <w:t>given up her house and moved in with him.</w:t>
      </w:r>
      <w:r w:rsidR="00802803">
        <w:rPr>
          <w:rFonts w:ascii="Book Antiqua" w:hAnsi="Book Antiqua"/>
          <w:sz w:val="24"/>
          <w:szCs w:val="24"/>
          <w:lang w:val="en"/>
        </w:rPr>
        <w:t xml:space="preserve"> The decision of the court was to award the Respondent</w:t>
      </w:r>
      <w:r w:rsidR="00182CB4">
        <w:rPr>
          <w:rFonts w:ascii="Book Antiqua" w:hAnsi="Book Antiqua"/>
          <w:sz w:val="24"/>
          <w:szCs w:val="24"/>
          <w:lang w:val="en"/>
        </w:rPr>
        <w:t xml:space="preserve"> £28,500 to be paid by the Appellant pursuant to her having established a </w:t>
      </w:r>
      <w:r w:rsidR="00182CB4" w:rsidRPr="0060224F">
        <w:rPr>
          <w:rFonts w:ascii="Book Antiqua" w:hAnsi="Book Antiqua"/>
          <w:sz w:val="24"/>
          <w:szCs w:val="24"/>
          <w:lang w:val="en"/>
        </w:rPr>
        <w:t>proprietary</w:t>
      </w:r>
      <w:r w:rsidR="00182CB4">
        <w:rPr>
          <w:rFonts w:ascii="Book Antiqua" w:hAnsi="Book Antiqua"/>
          <w:sz w:val="24"/>
          <w:szCs w:val="24"/>
          <w:lang w:val="en"/>
        </w:rPr>
        <w:t xml:space="preserve"> estoppel. </w:t>
      </w:r>
    </w:p>
    <w:p w:rsidR="00182CB4" w:rsidRDefault="00182CB4" w:rsidP="0060224F">
      <w:pPr>
        <w:pStyle w:val="NoSpacing"/>
        <w:jc w:val="both"/>
        <w:rPr>
          <w:rFonts w:ascii="Book Antiqua" w:hAnsi="Book Antiqua"/>
          <w:sz w:val="24"/>
          <w:szCs w:val="24"/>
          <w:lang w:val="en"/>
        </w:rPr>
      </w:pPr>
    </w:p>
    <w:p w:rsidR="001F6FED" w:rsidRPr="0060224F" w:rsidRDefault="002451DE"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There were three </w:t>
      </w:r>
      <w:r w:rsidR="001F6FED" w:rsidRPr="0060224F">
        <w:rPr>
          <w:rFonts w:ascii="Book Antiqua" w:hAnsi="Book Antiqua"/>
          <w:sz w:val="24"/>
          <w:szCs w:val="24"/>
          <w:lang w:val="en"/>
        </w:rPr>
        <w:t xml:space="preserve">separate </w:t>
      </w:r>
      <w:r w:rsidRPr="0060224F">
        <w:rPr>
          <w:rFonts w:ascii="Book Antiqua" w:hAnsi="Book Antiqua"/>
          <w:sz w:val="24"/>
          <w:szCs w:val="24"/>
          <w:lang w:val="en"/>
        </w:rPr>
        <w:t>grounds of appeal</w:t>
      </w:r>
      <w:r w:rsidR="00182CB4">
        <w:rPr>
          <w:rFonts w:ascii="Book Antiqua" w:hAnsi="Book Antiqua"/>
          <w:sz w:val="24"/>
          <w:szCs w:val="24"/>
          <w:lang w:val="en"/>
        </w:rPr>
        <w:t>,</w:t>
      </w:r>
      <w:r w:rsidR="001F6FED" w:rsidRPr="0060224F">
        <w:rPr>
          <w:rFonts w:ascii="Book Antiqua" w:hAnsi="Book Antiqua"/>
          <w:sz w:val="24"/>
          <w:szCs w:val="24"/>
          <w:lang w:val="en"/>
        </w:rPr>
        <w:t xml:space="preserve"> which were all in turn rejected. The first ground was that t</w:t>
      </w:r>
      <w:r w:rsidRPr="0060224F">
        <w:rPr>
          <w:rFonts w:ascii="Book Antiqua" w:hAnsi="Book Antiqua"/>
          <w:sz w:val="24"/>
          <w:szCs w:val="24"/>
          <w:lang w:val="en"/>
        </w:rPr>
        <w:t xml:space="preserve">he assurances found proved by the judge in relation to the Respondent's security of tenure lacked the requisite specificity to engage the doctrine </w:t>
      </w:r>
      <w:r w:rsidR="003B6FC3" w:rsidRPr="0060224F">
        <w:rPr>
          <w:rFonts w:ascii="Book Antiqua" w:hAnsi="Book Antiqua"/>
          <w:sz w:val="24"/>
          <w:szCs w:val="24"/>
          <w:lang w:val="en"/>
        </w:rPr>
        <w:t>of proprietary</w:t>
      </w:r>
      <w:r w:rsidRPr="0060224F">
        <w:rPr>
          <w:rFonts w:ascii="Book Antiqua" w:hAnsi="Book Antiqua"/>
          <w:sz w:val="24"/>
          <w:szCs w:val="24"/>
          <w:lang w:val="en"/>
        </w:rPr>
        <w:t xml:space="preserve"> estoppel</w:t>
      </w:r>
      <w:r w:rsidR="001F6FED" w:rsidRPr="0060224F">
        <w:rPr>
          <w:rFonts w:ascii="Book Antiqua" w:hAnsi="Book Antiqua"/>
          <w:sz w:val="24"/>
          <w:szCs w:val="24"/>
          <w:lang w:val="en"/>
        </w:rPr>
        <w:t xml:space="preserve">. </w:t>
      </w:r>
    </w:p>
    <w:p w:rsidR="0060224F" w:rsidRDefault="0060224F" w:rsidP="0060224F">
      <w:pPr>
        <w:pStyle w:val="NoSpacing"/>
        <w:jc w:val="both"/>
        <w:rPr>
          <w:rFonts w:ascii="Book Antiqua" w:hAnsi="Book Antiqua"/>
          <w:sz w:val="24"/>
          <w:szCs w:val="24"/>
          <w:lang w:val="en"/>
        </w:rPr>
      </w:pPr>
    </w:p>
    <w:p w:rsidR="001F6FED" w:rsidRPr="0060224F" w:rsidRDefault="00182CB4"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Tomlinson LJ </w:t>
      </w:r>
      <w:r>
        <w:rPr>
          <w:rFonts w:ascii="Book Antiqua" w:hAnsi="Book Antiqua"/>
          <w:sz w:val="24"/>
          <w:szCs w:val="24"/>
          <w:lang w:val="en"/>
        </w:rPr>
        <w:t>found that t</w:t>
      </w:r>
      <w:r w:rsidR="001F6FED" w:rsidRPr="0060224F">
        <w:rPr>
          <w:rFonts w:ascii="Book Antiqua" w:hAnsi="Book Antiqua"/>
          <w:sz w:val="24"/>
          <w:szCs w:val="24"/>
          <w:lang w:val="en"/>
        </w:rPr>
        <w:t xml:space="preserve">he thrust of the findings that the first </w:t>
      </w:r>
      <w:r w:rsidR="003B6FC3" w:rsidRPr="0060224F">
        <w:rPr>
          <w:rFonts w:ascii="Book Antiqua" w:hAnsi="Book Antiqua"/>
          <w:sz w:val="24"/>
          <w:szCs w:val="24"/>
          <w:lang w:val="en"/>
        </w:rPr>
        <w:t>instance</w:t>
      </w:r>
      <w:r w:rsidR="001F6FED" w:rsidRPr="0060224F">
        <w:rPr>
          <w:rFonts w:ascii="Book Antiqua" w:hAnsi="Book Antiqua"/>
          <w:sz w:val="24"/>
          <w:szCs w:val="24"/>
          <w:lang w:val="en"/>
        </w:rPr>
        <w:t xml:space="preserve"> judge had </w:t>
      </w:r>
      <w:r w:rsidR="003B6FC3" w:rsidRPr="0060224F">
        <w:rPr>
          <w:rFonts w:ascii="Book Antiqua" w:hAnsi="Book Antiqua"/>
          <w:sz w:val="24"/>
          <w:szCs w:val="24"/>
          <w:lang w:val="en"/>
        </w:rPr>
        <w:t>made was</w:t>
      </w:r>
      <w:r w:rsidR="001F6FED" w:rsidRPr="0060224F">
        <w:rPr>
          <w:rFonts w:ascii="Book Antiqua" w:hAnsi="Book Antiqua"/>
          <w:sz w:val="24"/>
          <w:szCs w:val="24"/>
          <w:lang w:val="en"/>
        </w:rPr>
        <w:t xml:space="preserve"> to the effect that the Respondent would have an entitlement which would be </w:t>
      </w:r>
      <w:r w:rsidR="003B6FC3" w:rsidRPr="0060224F">
        <w:rPr>
          <w:rFonts w:ascii="Book Antiqua" w:hAnsi="Book Antiqua"/>
          <w:sz w:val="24"/>
          <w:szCs w:val="24"/>
          <w:lang w:val="en"/>
        </w:rPr>
        <w:t>recognized</w:t>
      </w:r>
      <w:r w:rsidR="001F6FED" w:rsidRPr="0060224F">
        <w:rPr>
          <w:rFonts w:ascii="Book Antiqua" w:hAnsi="Book Antiqua"/>
          <w:sz w:val="24"/>
          <w:szCs w:val="24"/>
          <w:lang w:val="en"/>
        </w:rPr>
        <w:t xml:space="preserve"> in the event of breakdown of the relationship, just as would be the contribution of a wife to the assets of a marriage in the event of marital breakdown.</w:t>
      </w:r>
    </w:p>
    <w:p w:rsidR="0060224F" w:rsidRDefault="0060224F" w:rsidP="0060224F">
      <w:pPr>
        <w:pStyle w:val="NoSpacing"/>
        <w:jc w:val="both"/>
        <w:rPr>
          <w:rFonts w:ascii="Book Antiqua" w:hAnsi="Book Antiqua"/>
          <w:sz w:val="24"/>
          <w:szCs w:val="24"/>
          <w:lang w:val="en"/>
        </w:rPr>
      </w:pPr>
    </w:p>
    <w:p w:rsidR="0025052E" w:rsidRDefault="0025052E"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The second ground of appeal was that the judge had erred in finding that the Respondent suffered detriment in reliance on those assurances, asserting that such detriment as may have been initially incurred by the Respondent in giving up a secure tenancy and moving in with the Appellant was dissipated over the course of the relationship, which lasted for about nine years. </w:t>
      </w:r>
    </w:p>
    <w:p w:rsidR="0060224F" w:rsidRPr="0060224F" w:rsidRDefault="0060224F" w:rsidP="0060224F">
      <w:pPr>
        <w:pStyle w:val="NoSpacing"/>
        <w:jc w:val="both"/>
        <w:rPr>
          <w:rFonts w:ascii="Book Antiqua" w:hAnsi="Book Antiqua"/>
          <w:sz w:val="24"/>
          <w:szCs w:val="24"/>
          <w:lang w:val="en"/>
        </w:rPr>
      </w:pPr>
    </w:p>
    <w:p w:rsidR="0025052E" w:rsidRPr="0060224F" w:rsidRDefault="00182CB4"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Tomlinson LJ </w:t>
      </w:r>
      <w:r w:rsidR="0025052E" w:rsidRPr="0060224F">
        <w:rPr>
          <w:rFonts w:ascii="Book Antiqua" w:hAnsi="Book Antiqua"/>
          <w:sz w:val="24"/>
          <w:szCs w:val="24"/>
          <w:lang w:val="en"/>
        </w:rPr>
        <w:t xml:space="preserve">relied upon the first </w:t>
      </w:r>
      <w:r w:rsidR="003B6FC3" w:rsidRPr="0060224F">
        <w:rPr>
          <w:rFonts w:ascii="Book Antiqua" w:hAnsi="Book Antiqua"/>
          <w:sz w:val="24"/>
          <w:szCs w:val="24"/>
          <w:lang w:val="en"/>
        </w:rPr>
        <w:t>instance judgment</w:t>
      </w:r>
      <w:r w:rsidR="0025052E" w:rsidRPr="0060224F">
        <w:rPr>
          <w:rFonts w:ascii="Book Antiqua" w:hAnsi="Book Antiqua"/>
          <w:sz w:val="24"/>
          <w:szCs w:val="24"/>
          <w:lang w:val="en"/>
        </w:rPr>
        <w:t xml:space="preserve"> where it was concluded that it would be </w:t>
      </w:r>
      <w:r w:rsidR="002451DE" w:rsidRPr="0060224F">
        <w:rPr>
          <w:rFonts w:ascii="Book Antiqua" w:hAnsi="Book Antiqua"/>
          <w:sz w:val="24"/>
          <w:szCs w:val="24"/>
          <w:lang w:val="en"/>
        </w:rPr>
        <w:t xml:space="preserve">unconscionable for the Defendant to do anything other than to seek to put </w:t>
      </w:r>
      <w:r w:rsidR="002451DE" w:rsidRPr="0060224F">
        <w:rPr>
          <w:rFonts w:ascii="Book Antiqua" w:hAnsi="Book Antiqua"/>
          <w:sz w:val="24"/>
          <w:szCs w:val="24"/>
          <w:lang w:val="en"/>
        </w:rPr>
        <w:lastRenderedPageBreak/>
        <w:t>her back in much the same position as she was before she gave up her own house.</w:t>
      </w:r>
      <w:r w:rsidR="0025052E" w:rsidRPr="0060224F">
        <w:rPr>
          <w:rFonts w:ascii="Book Antiqua" w:hAnsi="Book Antiqua"/>
          <w:sz w:val="24"/>
          <w:szCs w:val="24"/>
          <w:lang w:val="en"/>
        </w:rPr>
        <w:t xml:space="preserve"> </w:t>
      </w:r>
      <w:r w:rsidR="002451DE" w:rsidRPr="0060224F">
        <w:rPr>
          <w:rFonts w:ascii="Book Antiqua" w:hAnsi="Book Antiqua"/>
          <w:sz w:val="24"/>
          <w:szCs w:val="24"/>
          <w:lang w:val="en"/>
        </w:rPr>
        <w:t>Tomlinson LJ acknowledged that whilst the Respondent had benefited during the course of the relationship, so had the Appellant.</w:t>
      </w:r>
      <w:r w:rsidR="0025052E" w:rsidRPr="0060224F">
        <w:rPr>
          <w:rFonts w:ascii="Book Antiqua" w:hAnsi="Book Antiqua"/>
          <w:sz w:val="24"/>
          <w:szCs w:val="24"/>
          <w:lang w:val="en"/>
        </w:rPr>
        <w:t xml:space="preserve"> </w:t>
      </w:r>
      <w:r w:rsidR="002451DE" w:rsidRPr="0060224F">
        <w:rPr>
          <w:rFonts w:ascii="Book Antiqua" w:hAnsi="Book Antiqua"/>
          <w:sz w:val="24"/>
          <w:szCs w:val="24"/>
          <w:lang w:val="en"/>
        </w:rPr>
        <w:t xml:space="preserve">He concluded that the essence of the promise here upon which the proprietary estoppel was sought to be based was that the Respondent should have a home for life, on the strength of which she gave up her own secure home in which she had invested about £15,000 and in turn invested £4,000 - £5,000 as her contribution to the setting up of the new home in which she was to live with the Appellant. </w:t>
      </w:r>
      <w:r w:rsidR="003B6FC3" w:rsidRPr="0060224F">
        <w:rPr>
          <w:rFonts w:ascii="Book Antiqua" w:hAnsi="Book Antiqua"/>
          <w:sz w:val="24"/>
          <w:szCs w:val="24"/>
          <w:lang w:val="en"/>
        </w:rPr>
        <w:t>Therefore</w:t>
      </w:r>
      <w:r w:rsidR="0025052E" w:rsidRPr="0060224F">
        <w:rPr>
          <w:rFonts w:ascii="Book Antiqua" w:hAnsi="Book Antiqua"/>
          <w:sz w:val="24"/>
          <w:szCs w:val="24"/>
          <w:lang w:val="en"/>
        </w:rPr>
        <w:t xml:space="preserve">, there was a </w:t>
      </w:r>
      <w:r w:rsidR="002451DE" w:rsidRPr="0060224F">
        <w:rPr>
          <w:rFonts w:ascii="Book Antiqua" w:hAnsi="Book Antiqua"/>
          <w:sz w:val="24"/>
          <w:szCs w:val="24"/>
          <w:lang w:val="en"/>
        </w:rPr>
        <w:t>causal link between the assurance relied upon and the detriment asserted</w:t>
      </w:r>
      <w:r w:rsidR="0025052E" w:rsidRPr="0060224F">
        <w:rPr>
          <w:rFonts w:ascii="Book Antiqua" w:hAnsi="Book Antiqua"/>
          <w:sz w:val="24"/>
          <w:szCs w:val="24"/>
          <w:lang w:val="en"/>
        </w:rPr>
        <w:t xml:space="preserve">. </w:t>
      </w:r>
    </w:p>
    <w:p w:rsidR="0060224F" w:rsidRDefault="0060224F" w:rsidP="0060224F">
      <w:pPr>
        <w:pStyle w:val="NoSpacing"/>
        <w:jc w:val="both"/>
        <w:rPr>
          <w:rFonts w:ascii="Book Antiqua" w:hAnsi="Book Antiqua"/>
          <w:sz w:val="24"/>
          <w:szCs w:val="24"/>
          <w:lang w:val="en"/>
        </w:rPr>
      </w:pPr>
    </w:p>
    <w:p w:rsidR="002451DE" w:rsidRPr="0060224F" w:rsidRDefault="0025052E" w:rsidP="0060224F">
      <w:pPr>
        <w:pStyle w:val="NoSpacing"/>
        <w:jc w:val="both"/>
        <w:rPr>
          <w:rFonts w:ascii="Book Antiqua" w:hAnsi="Book Antiqua"/>
          <w:sz w:val="24"/>
          <w:szCs w:val="24"/>
          <w:lang w:val="en"/>
        </w:rPr>
      </w:pPr>
      <w:r w:rsidRPr="0060224F">
        <w:rPr>
          <w:rFonts w:ascii="Book Antiqua" w:hAnsi="Book Antiqua"/>
          <w:sz w:val="24"/>
          <w:szCs w:val="24"/>
          <w:lang w:val="en"/>
        </w:rPr>
        <w:t>The third and final ground of appeal was the judge was wrong to find that the Appellant acted unconscionably in denying to the Respondent the right or benefit that she expected to receive. It was asserted on behalf of the Appellant that the judge had lost sight of the fact that this was not a marriage and so not a relationship which</w:t>
      </w:r>
      <w:r w:rsidR="0060224F" w:rsidRPr="0060224F">
        <w:rPr>
          <w:rFonts w:ascii="Book Antiqua" w:hAnsi="Book Antiqua"/>
          <w:sz w:val="24"/>
          <w:szCs w:val="24"/>
          <w:lang w:val="en"/>
        </w:rPr>
        <w:t xml:space="preserve"> </w:t>
      </w:r>
      <w:r w:rsidRPr="0060224F">
        <w:rPr>
          <w:rFonts w:ascii="Book Antiqua" w:hAnsi="Book Antiqua"/>
          <w:sz w:val="24"/>
          <w:szCs w:val="24"/>
          <w:lang w:val="en"/>
        </w:rPr>
        <w:t xml:space="preserve">was expected to </w:t>
      </w:r>
      <w:r w:rsidR="002451DE" w:rsidRPr="0060224F">
        <w:rPr>
          <w:rFonts w:ascii="Book Antiqua" w:hAnsi="Book Antiqua"/>
          <w:sz w:val="24"/>
          <w:szCs w:val="24"/>
          <w:lang w:val="en"/>
        </w:rPr>
        <w:t xml:space="preserve">or intended to endure indefinitely.   </w:t>
      </w:r>
      <w:r w:rsidR="002451DE" w:rsidRPr="0060224F">
        <w:rPr>
          <w:rFonts w:ascii="Book Antiqua" w:hAnsi="Book Antiqua"/>
          <w:sz w:val="24"/>
          <w:szCs w:val="24"/>
          <w:lang w:val="en"/>
        </w:rPr>
        <w:br/>
      </w:r>
      <w:r w:rsidR="002451DE" w:rsidRPr="0060224F">
        <w:rPr>
          <w:rFonts w:ascii="Book Antiqua" w:hAnsi="Book Antiqua"/>
          <w:sz w:val="24"/>
          <w:szCs w:val="24"/>
          <w:lang w:val="en"/>
        </w:rPr>
        <w:br/>
        <w:t xml:space="preserve">Tomlinson LJ </w:t>
      </w:r>
      <w:r w:rsidRPr="0060224F">
        <w:rPr>
          <w:rFonts w:ascii="Book Antiqua" w:hAnsi="Book Antiqua"/>
          <w:sz w:val="24"/>
          <w:szCs w:val="24"/>
          <w:lang w:val="en"/>
        </w:rPr>
        <w:t xml:space="preserve">found that the focus should be on the </w:t>
      </w:r>
      <w:r w:rsidR="002451DE" w:rsidRPr="0060224F">
        <w:rPr>
          <w:rFonts w:ascii="Book Antiqua" w:hAnsi="Book Antiqua"/>
          <w:sz w:val="24"/>
          <w:szCs w:val="24"/>
          <w:lang w:val="en"/>
        </w:rPr>
        <w:t>promise and the detrimental reliance. The detriment to the Respondent was not that she embarked upon a relationship with the Appellant but that she</w:t>
      </w:r>
      <w:r w:rsidRPr="0060224F">
        <w:rPr>
          <w:rFonts w:ascii="Book Antiqua" w:hAnsi="Book Antiqua"/>
          <w:sz w:val="24"/>
          <w:szCs w:val="24"/>
          <w:lang w:val="en"/>
        </w:rPr>
        <w:t xml:space="preserve"> had </w:t>
      </w:r>
      <w:r w:rsidR="002451DE" w:rsidRPr="0060224F">
        <w:rPr>
          <w:rFonts w:ascii="Book Antiqua" w:hAnsi="Book Antiqua"/>
          <w:sz w:val="24"/>
          <w:szCs w:val="24"/>
          <w:lang w:val="en"/>
        </w:rPr>
        <w:t>abandoned her secure home in which she had invested and invested what little else she had in a home to which she had no legal title</w:t>
      </w:r>
    </w:p>
    <w:p w:rsidR="0060224F" w:rsidRDefault="0060224F" w:rsidP="0060224F">
      <w:pPr>
        <w:pStyle w:val="NoSpacing"/>
        <w:jc w:val="both"/>
        <w:rPr>
          <w:rFonts w:ascii="Book Antiqua" w:hAnsi="Book Antiqua"/>
          <w:sz w:val="24"/>
          <w:szCs w:val="24"/>
          <w:lang w:val="en"/>
        </w:rPr>
      </w:pPr>
    </w:p>
    <w:p w:rsidR="00C64416" w:rsidRPr="0060224F" w:rsidRDefault="00826704" w:rsidP="0060224F">
      <w:pPr>
        <w:pStyle w:val="NoSpacing"/>
        <w:jc w:val="both"/>
        <w:rPr>
          <w:rFonts w:ascii="Book Antiqua" w:hAnsi="Book Antiqua"/>
          <w:b/>
          <w:sz w:val="24"/>
          <w:szCs w:val="24"/>
          <w:lang w:val="en"/>
        </w:rPr>
      </w:pPr>
      <w:r w:rsidRPr="0060224F">
        <w:rPr>
          <w:rFonts w:ascii="Book Antiqua" w:hAnsi="Book Antiqua"/>
          <w:b/>
          <w:sz w:val="24"/>
          <w:szCs w:val="24"/>
          <w:lang w:val="en"/>
        </w:rPr>
        <w:t>Prest v Prest [2014] EWHC 3430 (Fam)</w:t>
      </w:r>
    </w:p>
    <w:p w:rsidR="0060224F" w:rsidRDefault="0060224F" w:rsidP="0060224F">
      <w:pPr>
        <w:pStyle w:val="NoSpacing"/>
        <w:jc w:val="both"/>
        <w:rPr>
          <w:rFonts w:ascii="Book Antiqua" w:hAnsi="Book Antiqua"/>
          <w:sz w:val="24"/>
          <w:szCs w:val="24"/>
          <w:lang w:val="en"/>
        </w:rPr>
      </w:pPr>
    </w:p>
    <w:p w:rsidR="000C68C9" w:rsidRDefault="00097039"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This is a </w:t>
      </w:r>
      <w:r w:rsidR="0025052E" w:rsidRPr="0060224F">
        <w:rPr>
          <w:rFonts w:ascii="Book Antiqua" w:hAnsi="Book Antiqua"/>
          <w:sz w:val="24"/>
          <w:szCs w:val="24"/>
          <w:lang w:val="en"/>
        </w:rPr>
        <w:t xml:space="preserve">helpful </w:t>
      </w:r>
      <w:r w:rsidR="000C68C9" w:rsidRPr="0060224F">
        <w:rPr>
          <w:rFonts w:ascii="Book Antiqua" w:hAnsi="Book Antiqua"/>
          <w:sz w:val="24"/>
          <w:szCs w:val="24"/>
          <w:lang w:val="en"/>
        </w:rPr>
        <w:t xml:space="preserve">guide to the </w:t>
      </w:r>
      <w:r w:rsidR="00444C10" w:rsidRPr="0060224F">
        <w:rPr>
          <w:rFonts w:ascii="Book Antiqua" w:hAnsi="Book Antiqua"/>
          <w:sz w:val="24"/>
          <w:szCs w:val="24"/>
          <w:lang w:val="en"/>
        </w:rPr>
        <w:t xml:space="preserve">procedure and </w:t>
      </w:r>
      <w:r w:rsidR="000C68C9" w:rsidRPr="0060224F">
        <w:rPr>
          <w:rFonts w:ascii="Book Antiqua" w:hAnsi="Book Antiqua"/>
          <w:sz w:val="24"/>
          <w:szCs w:val="24"/>
          <w:lang w:val="en"/>
        </w:rPr>
        <w:t>statutory framework in respect of the court making a committal order. In this case the Wife was seeking the Husband for his failure to pay sums due by way of period</w:t>
      </w:r>
      <w:r w:rsidR="00444C10" w:rsidRPr="0060224F">
        <w:rPr>
          <w:rFonts w:ascii="Book Antiqua" w:hAnsi="Book Antiqua"/>
          <w:sz w:val="24"/>
          <w:szCs w:val="24"/>
          <w:lang w:val="en"/>
        </w:rPr>
        <w:t>i</w:t>
      </w:r>
      <w:r w:rsidR="000C68C9" w:rsidRPr="0060224F">
        <w:rPr>
          <w:rFonts w:ascii="Book Antiqua" w:hAnsi="Book Antiqua"/>
          <w:sz w:val="24"/>
          <w:szCs w:val="24"/>
          <w:lang w:val="en"/>
        </w:rPr>
        <w:t xml:space="preserve">cal payments that had been ordered. </w:t>
      </w:r>
    </w:p>
    <w:p w:rsidR="0060224F" w:rsidRPr="0060224F" w:rsidRDefault="0060224F" w:rsidP="0060224F">
      <w:pPr>
        <w:pStyle w:val="NoSpacing"/>
        <w:jc w:val="both"/>
        <w:rPr>
          <w:rFonts w:ascii="Book Antiqua" w:hAnsi="Book Antiqua"/>
          <w:sz w:val="24"/>
          <w:szCs w:val="24"/>
          <w:lang w:val="en"/>
        </w:rPr>
      </w:pPr>
    </w:p>
    <w:p w:rsidR="0060224F" w:rsidRDefault="00097039"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Moylan J set out that t</w:t>
      </w:r>
      <w:r w:rsidR="00444C10" w:rsidRPr="0060224F">
        <w:rPr>
          <w:rFonts w:ascii="Book Antiqua" w:eastAsia="Times New Roman" w:hAnsi="Book Antiqua" w:cs="Times New Roman"/>
          <w:sz w:val="24"/>
          <w:szCs w:val="24"/>
          <w:lang w:val="en" w:eastAsia="en-GB"/>
        </w:rPr>
        <w:t>he legal framework is that a judgment summons is an application under s</w:t>
      </w:r>
      <w:r w:rsidRPr="0060224F">
        <w:rPr>
          <w:rFonts w:ascii="Book Antiqua" w:eastAsia="Times New Roman" w:hAnsi="Book Antiqua" w:cs="Times New Roman"/>
          <w:sz w:val="24"/>
          <w:szCs w:val="24"/>
          <w:lang w:val="en" w:eastAsia="en-GB"/>
        </w:rPr>
        <w:t>.</w:t>
      </w:r>
      <w:r w:rsidR="00444C10" w:rsidRPr="0060224F">
        <w:rPr>
          <w:rFonts w:ascii="Book Antiqua" w:eastAsia="Times New Roman" w:hAnsi="Book Antiqua" w:cs="Times New Roman"/>
          <w:sz w:val="24"/>
          <w:szCs w:val="24"/>
          <w:lang w:val="en" w:eastAsia="en-GB"/>
        </w:rPr>
        <w:t>5 of the Debtors Act 1869.  Under this section, a judgment creditor can apply to the court for the committal to prison of a judgment debtor, for a maximum period of six weeks, in respect of, among other orders, a maintenance order. </w:t>
      </w:r>
    </w:p>
    <w:p w:rsidR="0060224F" w:rsidRDefault="0060224F" w:rsidP="0060224F">
      <w:pPr>
        <w:pStyle w:val="NoSpacing"/>
        <w:jc w:val="both"/>
        <w:rPr>
          <w:rFonts w:ascii="Book Antiqua" w:eastAsia="Times New Roman" w:hAnsi="Book Antiqua" w:cs="Times New Roman"/>
          <w:sz w:val="24"/>
          <w:szCs w:val="24"/>
          <w:lang w:val="en" w:eastAsia="en-GB"/>
        </w:rPr>
      </w:pPr>
    </w:p>
    <w:p w:rsidR="00097039" w:rsidRDefault="00444C10"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 S</w:t>
      </w:r>
      <w:r w:rsidR="00097039" w:rsidRPr="0060224F">
        <w:rPr>
          <w:rFonts w:ascii="Book Antiqua" w:eastAsia="Times New Roman" w:hAnsi="Book Antiqua" w:cs="Times New Roman"/>
          <w:sz w:val="24"/>
          <w:szCs w:val="24"/>
          <w:lang w:val="en" w:eastAsia="en-GB"/>
        </w:rPr>
        <w:t xml:space="preserve">ection </w:t>
      </w:r>
      <w:r w:rsidRPr="0060224F">
        <w:rPr>
          <w:rFonts w:ascii="Book Antiqua" w:eastAsia="Times New Roman" w:hAnsi="Book Antiqua" w:cs="Times New Roman"/>
          <w:sz w:val="24"/>
          <w:szCs w:val="24"/>
          <w:lang w:val="en" w:eastAsia="en-GB"/>
        </w:rPr>
        <w:t>5 provides</w:t>
      </w:r>
      <w:r w:rsidR="0060224F">
        <w:rPr>
          <w:rFonts w:ascii="Book Antiqua" w:eastAsia="Times New Roman" w:hAnsi="Book Antiqua" w:cs="Times New Roman"/>
          <w:sz w:val="24"/>
          <w:szCs w:val="24"/>
          <w:lang w:val="en" w:eastAsia="en-GB"/>
        </w:rPr>
        <w:t xml:space="preserve"> that, </w:t>
      </w:r>
      <w:r w:rsidRPr="0060224F">
        <w:rPr>
          <w:rFonts w:ascii="Book Antiqua" w:eastAsia="Times New Roman" w:hAnsi="Book Antiqua" w:cs="Times New Roman"/>
          <w:sz w:val="24"/>
          <w:szCs w:val="24"/>
          <w:lang w:val="en" w:eastAsia="en-GB"/>
        </w:rPr>
        <w:t>"</w:t>
      </w:r>
      <w:r w:rsidRPr="0060224F">
        <w:rPr>
          <w:rFonts w:ascii="Book Antiqua" w:eastAsia="Times New Roman" w:hAnsi="Book Antiqua" w:cs="Times New Roman"/>
          <w:i/>
          <w:sz w:val="24"/>
          <w:szCs w:val="24"/>
          <w:lang w:val="en" w:eastAsia="en-GB"/>
        </w:rPr>
        <w:t>Subject to the provisions herein-after mentioned, and to the prescribed rules, any court may commit to prison for a term not exceeding six weeks, or until payment of the sum due, any person who makes default in payment of any debt or instalment of any debt due from him in pursuance of any order or judgment of that or any other competent court</w:t>
      </w:r>
      <w:r w:rsidRPr="0060224F">
        <w:rPr>
          <w:rFonts w:ascii="Book Antiqua" w:eastAsia="Times New Roman" w:hAnsi="Book Antiqua" w:cs="Times New Roman"/>
          <w:sz w:val="24"/>
          <w:szCs w:val="24"/>
          <w:lang w:val="en" w:eastAsia="en-GB"/>
        </w:rPr>
        <w:t xml:space="preserve">."  </w:t>
      </w:r>
    </w:p>
    <w:p w:rsidR="0060224F" w:rsidRPr="0060224F" w:rsidRDefault="0060224F" w:rsidP="0060224F">
      <w:pPr>
        <w:pStyle w:val="NoSpacing"/>
        <w:jc w:val="both"/>
        <w:rPr>
          <w:rFonts w:ascii="Book Antiqua" w:eastAsia="Times New Roman" w:hAnsi="Book Antiqua" w:cs="Times New Roman"/>
          <w:sz w:val="24"/>
          <w:szCs w:val="24"/>
          <w:lang w:val="en" w:eastAsia="en-GB"/>
        </w:rPr>
      </w:pPr>
    </w:p>
    <w:p w:rsidR="00444C10" w:rsidRPr="0060224F" w:rsidRDefault="00444C10" w:rsidP="0060224F">
      <w:pPr>
        <w:pStyle w:val="NoSpacing"/>
        <w:jc w:val="both"/>
        <w:rPr>
          <w:rFonts w:ascii="Book Antiqua" w:eastAsia="Times New Roman" w:hAnsi="Book Antiqua" w:cs="Times New Roman"/>
          <w:i/>
          <w:sz w:val="24"/>
          <w:szCs w:val="24"/>
          <w:lang w:val="en" w:eastAsia="en-GB"/>
        </w:rPr>
      </w:pPr>
      <w:r w:rsidRPr="0060224F">
        <w:rPr>
          <w:rFonts w:ascii="Book Antiqua" w:eastAsia="Times New Roman" w:hAnsi="Book Antiqua" w:cs="Times New Roman"/>
          <w:sz w:val="24"/>
          <w:szCs w:val="24"/>
          <w:lang w:val="en" w:eastAsia="en-GB"/>
        </w:rPr>
        <w:t xml:space="preserve">There </w:t>
      </w:r>
      <w:r w:rsidR="00430E43" w:rsidRPr="0060224F">
        <w:rPr>
          <w:rFonts w:ascii="Book Antiqua" w:eastAsia="Times New Roman" w:hAnsi="Book Antiqua" w:cs="Times New Roman"/>
          <w:sz w:val="24"/>
          <w:szCs w:val="24"/>
          <w:lang w:val="en" w:eastAsia="en-GB"/>
        </w:rPr>
        <w:t xml:space="preserve">is a </w:t>
      </w:r>
      <w:r w:rsidRPr="0060224F">
        <w:rPr>
          <w:rFonts w:ascii="Book Antiqua" w:eastAsia="Times New Roman" w:hAnsi="Book Antiqua" w:cs="Times New Roman"/>
          <w:sz w:val="24"/>
          <w:szCs w:val="24"/>
          <w:lang w:val="en" w:eastAsia="en-GB"/>
        </w:rPr>
        <w:t xml:space="preserve">relevant proviso </w:t>
      </w:r>
      <w:r w:rsidR="00430E43" w:rsidRPr="0060224F">
        <w:rPr>
          <w:rFonts w:ascii="Book Antiqua" w:eastAsia="Times New Roman" w:hAnsi="Book Antiqua" w:cs="Times New Roman"/>
          <w:sz w:val="24"/>
          <w:szCs w:val="24"/>
          <w:lang w:val="en" w:eastAsia="en-GB"/>
        </w:rPr>
        <w:t xml:space="preserve">which sets out that, </w:t>
      </w:r>
      <w:r w:rsidR="00097039" w:rsidRPr="0060224F">
        <w:rPr>
          <w:rFonts w:ascii="Book Antiqua" w:eastAsia="Times New Roman" w:hAnsi="Book Antiqua" w:cs="Times New Roman"/>
          <w:sz w:val="24"/>
          <w:szCs w:val="24"/>
          <w:lang w:val="en" w:eastAsia="en-GB"/>
        </w:rPr>
        <w:t>“</w:t>
      </w:r>
      <w:r w:rsidRPr="0060224F">
        <w:rPr>
          <w:rFonts w:ascii="Book Antiqua" w:eastAsia="Times New Roman" w:hAnsi="Book Antiqua" w:cs="Times New Roman"/>
          <w:i/>
          <w:sz w:val="24"/>
          <w:szCs w:val="24"/>
          <w:lang w:val="en" w:eastAsia="en-GB"/>
        </w:rPr>
        <w:t>That such jurisdiction shall only be exercised where it is proved to the satisfaction of the court that the person making default either has or has had since the date of the order or judgment the means to pay the sum in respect of which he has made default, and has refused or neglected, or refuses or neglects, to pay the same."</w:t>
      </w:r>
    </w:p>
    <w:p w:rsidR="0060224F" w:rsidRDefault="0060224F" w:rsidP="0060224F">
      <w:pPr>
        <w:pStyle w:val="NoSpacing"/>
        <w:jc w:val="both"/>
        <w:rPr>
          <w:rFonts w:ascii="Book Antiqua" w:eastAsia="Times New Roman" w:hAnsi="Book Antiqua" w:cs="Times New Roman"/>
          <w:sz w:val="24"/>
          <w:szCs w:val="24"/>
          <w:lang w:val="en" w:eastAsia="en-GB"/>
        </w:rPr>
      </w:pPr>
    </w:p>
    <w:p w:rsidR="00444C10" w:rsidRPr="0060224F" w:rsidRDefault="00430E4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The relevant rules are contained in the </w:t>
      </w:r>
      <w:r w:rsidR="00444C10" w:rsidRPr="0060224F">
        <w:rPr>
          <w:rFonts w:ascii="Book Antiqua" w:eastAsia="Times New Roman" w:hAnsi="Book Antiqua" w:cs="Times New Roman"/>
          <w:sz w:val="24"/>
          <w:szCs w:val="24"/>
          <w:lang w:val="en" w:eastAsia="en-GB"/>
        </w:rPr>
        <w:t xml:space="preserve">Family Procedure Rules 2010 deal with committal by way of judgment summons under Part 33, Chapter 2, starting at </w:t>
      </w:r>
      <w:r w:rsidRPr="0060224F">
        <w:rPr>
          <w:rFonts w:ascii="Book Antiqua" w:eastAsia="Times New Roman" w:hAnsi="Book Antiqua" w:cs="Times New Roman"/>
          <w:sz w:val="24"/>
          <w:szCs w:val="24"/>
          <w:lang w:val="en" w:eastAsia="en-GB"/>
        </w:rPr>
        <w:t>R</w:t>
      </w:r>
      <w:r w:rsidR="00444C10" w:rsidRPr="0060224F">
        <w:rPr>
          <w:rFonts w:ascii="Book Antiqua" w:eastAsia="Times New Roman" w:hAnsi="Book Antiqua" w:cs="Times New Roman"/>
          <w:sz w:val="24"/>
          <w:szCs w:val="24"/>
          <w:lang w:val="en" w:eastAsia="en-GB"/>
        </w:rPr>
        <w:t xml:space="preserve">ule </w:t>
      </w:r>
      <w:r w:rsidR="00444C10" w:rsidRPr="0060224F">
        <w:rPr>
          <w:rFonts w:ascii="Book Antiqua" w:eastAsia="Times New Roman" w:hAnsi="Book Antiqua" w:cs="Times New Roman"/>
          <w:sz w:val="24"/>
          <w:szCs w:val="24"/>
          <w:lang w:val="en" w:eastAsia="en-GB"/>
        </w:rPr>
        <w:lastRenderedPageBreak/>
        <w:t xml:space="preserve">33.9.  Rule 33.14 </w:t>
      </w:r>
      <w:r w:rsidR="00097039" w:rsidRPr="0060224F">
        <w:rPr>
          <w:rFonts w:ascii="Book Antiqua" w:eastAsia="Times New Roman" w:hAnsi="Book Antiqua" w:cs="Times New Roman"/>
          <w:sz w:val="24"/>
          <w:szCs w:val="24"/>
          <w:lang w:val="en" w:eastAsia="en-GB"/>
        </w:rPr>
        <w:t xml:space="preserve">(1) </w:t>
      </w:r>
      <w:r w:rsidR="00444C10" w:rsidRPr="0060224F">
        <w:rPr>
          <w:rFonts w:ascii="Book Antiqua" w:eastAsia="Times New Roman" w:hAnsi="Book Antiqua" w:cs="Times New Roman"/>
          <w:sz w:val="24"/>
          <w:szCs w:val="24"/>
          <w:lang w:val="en" w:eastAsia="en-GB"/>
        </w:rPr>
        <w:t>provides</w:t>
      </w:r>
      <w:r w:rsidR="00D53EBB" w:rsidRPr="0060224F">
        <w:rPr>
          <w:rFonts w:ascii="Book Antiqua" w:eastAsia="Times New Roman" w:hAnsi="Book Antiqua" w:cs="Times New Roman"/>
          <w:sz w:val="24"/>
          <w:szCs w:val="24"/>
          <w:lang w:val="en" w:eastAsia="en-GB"/>
        </w:rPr>
        <w:t xml:space="preserve"> that no </w:t>
      </w:r>
      <w:r w:rsidR="00444C10" w:rsidRPr="0060224F">
        <w:rPr>
          <w:rFonts w:ascii="Book Antiqua" w:eastAsia="Times New Roman" w:hAnsi="Book Antiqua" w:cs="Times New Roman"/>
          <w:sz w:val="24"/>
          <w:szCs w:val="24"/>
          <w:lang w:val="en" w:eastAsia="en-GB"/>
        </w:rPr>
        <w:t>person may be committed on an application for a judgment summons</w:t>
      </w:r>
      <w:r w:rsidR="00097039" w:rsidRPr="0060224F">
        <w:rPr>
          <w:rFonts w:ascii="Book Antiqua" w:eastAsia="Times New Roman" w:hAnsi="Book Antiqua" w:cs="Times New Roman"/>
          <w:sz w:val="24"/>
          <w:szCs w:val="24"/>
          <w:lang w:val="en" w:eastAsia="en-GB"/>
        </w:rPr>
        <w:t xml:space="preserve"> </w:t>
      </w:r>
      <w:r w:rsidR="00444C10" w:rsidRPr="0060224F">
        <w:rPr>
          <w:rFonts w:ascii="Book Antiqua" w:eastAsia="Times New Roman" w:hAnsi="Book Antiqua" w:cs="Times New Roman"/>
          <w:sz w:val="24"/>
          <w:szCs w:val="24"/>
          <w:lang w:val="en" w:eastAsia="en-GB"/>
        </w:rPr>
        <w:t>unless</w:t>
      </w:r>
      <w:r w:rsidR="00D53EBB" w:rsidRPr="0060224F">
        <w:rPr>
          <w:rFonts w:ascii="Book Antiqua" w:eastAsia="Times New Roman" w:hAnsi="Book Antiqua" w:cs="Times New Roman"/>
          <w:sz w:val="24"/>
          <w:szCs w:val="24"/>
          <w:lang w:val="en" w:eastAsia="en-GB"/>
        </w:rPr>
        <w:t xml:space="preserve"> </w:t>
      </w:r>
      <w:r w:rsidR="00444C10" w:rsidRPr="0060224F">
        <w:rPr>
          <w:rFonts w:ascii="Book Antiqua" w:eastAsia="Times New Roman" w:hAnsi="Book Antiqua" w:cs="Times New Roman"/>
          <w:sz w:val="24"/>
          <w:szCs w:val="24"/>
          <w:lang w:val="en" w:eastAsia="en-GB"/>
        </w:rPr>
        <w:t>the judgment creditor proves that the debtor has, or has had, since the date of the order the means to pay the sum in respect of which the debtor has made default</w:t>
      </w:r>
      <w:r w:rsidR="00D53EBB" w:rsidRPr="0060224F">
        <w:rPr>
          <w:rFonts w:ascii="Book Antiqua" w:eastAsia="Times New Roman" w:hAnsi="Book Antiqua" w:cs="Times New Roman"/>
          <w:sz w:val="24"/>
          <w:szCs w:val="24"/>
          <w:lang w:val="en" w:eastAsia="en-GB"/>
        </w:rPr>
        <w:t xml:space="preserve"> a</w:t>
      </w:r>
      <w:r w:rsidR="00444C10" w:rsidRPr="0060224F">
        <w:rPr>
          <w:rFonts w:ascii="Book Antiqua" w:eastAsia="Times New Roman" w:hAnsi="Book Antiqua" w:cs="Times New Roman"/>
          <w:sz w:val="24"/>
          <w:szCs w:val="24"/>
          <w:lang w:val="en" w:eastAsia="en-GB"/>
        </w:rPr>
        <w:t>nd</w:t>
      </w:r>
      <w:r w:rsidR="00D53EBB" w:rsidRPr="0060224F">
        <w:rPr>
          <w:rFonts w:ascii="Book Antiqua" w:eastAsia="Times New Roman" w:hAnsi="Book Antiqua" w:cs="Times New Roman"/>
          <w:sz w:val="24"/>
          <w:szCs w:val="24"/>
          <w:lang w:val="en" w:eastAsia="en-GB"/>
        </w:rPr>
        <w:t xml:space="preserve"> </w:t>
      </w:r>
      <w:r w:rsidR="00444C10" w:rsidRPr="0060224F">
        <w:rPr>
          <w:rFonts w:ascii="Book Antiqua" w:eastAsia="Times New Roman" w:hAnsi="Book Antiqua" w:cs="Times New Roman"/>
          <w:sz w:val="24"/>
          <w:szCs w:val="24"/>
          <w:lang w:val="en" w:eastAsia="en-GB"/>
        </w:rPr>
        <w:t>has refused or neglected, or refuses or neglects, to pay that sum.</w:t>
      </w:r>
      <w:r w:rsidR="00D53EBB" w:rsidRPr="0060224F">
        <w:rPr>
          <w:rFonts w:ascii="Book Antiqua" w:eastAsia="Times New Roman" w:hAnsi="Book Antiqua" w:cs="Times New Roman"/>
          <w:sz w:val="24"/>
          <w:szCs w:val="24"/>
          <w:lang w:val="en" w:eastAsia="en-GB"/>
        </w:rPr>
        <w:t xml:space="preserve">  </w:t>
      </w:r>
      <w:r w:rsidRPr="0060224F">
        <w:rPr>
          <w:rFonts w:ascii="Book Antiqua" w:eastAsia="Times New Roman" w:hAnsi="Book Antiqua" w:cs="Times New Roman"/>
          <w:sz w:val="24"/>
          <w:szCs w:val="24"/>
          <w:lang w:val="en" w:eastAsia="en-GB"/>
        </w:rPr>
        <w:t xml:space="preserve">Rule 33.14 </w:t>
      </w:r>
      <w:r w:rsidR="00444C10" w:rsidRPr="0060224F">
        <w:rPr>
          <w:rFonts w:ascii="Book Antiqua" w:eastAsia="Times New Roman" w:hAnsi="Book Antiqua" w:cs="Times New Roman"/>
          <w:sz w:val="24"/>
          <w:szCs w:val="24"/>
          <w:lang w:val="en" w:eastAsia="en-GB"/>
        </w:rPr>
        <w:t>(2) provides that the debtor may not be compelled to give evidence.</w:t>
      </w:r>
      <w:r w:rsidR="00D53EBB" w:rsidRPr="0060224F">
        <w:rPr>
          <w:rFonts w:ascii="Book Antiqua" w:eastAsia="Times New Roman" w:hAnsi="Book Antiqua" w:cs="Times New Roman"/>
          <w:sz w:val="24"/>
          <w:szCs w:val="24"/>
          <w:lang w:val="en" w:eastAsia="en-GB"/>
        </w:rPr>
        <w:t xml:space="preserve"> </w:t>
      </w:r>
      <w:r w:rsidR="00444C10" w:rsidRPr="0060224F">
        <w:rPr>
          <w:rFonts w:ascii="Book Antiqua" w:eastAsia="Times New Roman" w:hAnsi="Book Antiqua" w:cs="Times New Roman"/>
          <w:sz w:val="24"/>
          <w:szCs w:val="24"/>
          <w:lang w:val="en" w:eastAsia="en-GB"/>
        </w:rPr>
        <w:t>The burden of proof is on the applicant who has to prove the requisite elements of the charge made in the judgment summons to the criminal standard.</w:t>
      </w:r>
      <w:r w:rsidR="00444C10" w:rsidRPr="0060224F">
        <w:rPr>
          <w:rFonts w:ascii="Book Antiqua" w:eastAsia="Times New Roman" w:hAnsi="Book Antiqua" w:cs="Times New Roman"/>
          <w:sz w:val="24"/>
          <w:szCs w:val="24"/>
          <w:lang w:val="en" w:eastAsia="en-GB"/>
        </w:rPr>
        <w:br/>
      </w:r>
      <w:r w:rsidR="00130314" w:rsidRPr="0060224F">
        <w:rPr>
          <w:rFonts w:ascii="Book Antiqua" w:eastAsia="Times New Roman" w:hAnsi="Book Antiqua" w:cs="Times New Roman"/>
          <w:sz w:val="24"/>
          <w:szCs w:val="24"/>
          <w:lang w:val="en" w:eastAsia="en-GB"/>
        </w:rPr>
        <w:t>The maximum period of imprisonment allowed is six weeks. </w:t>
      </w:r>
      <w:r w:rsidR="00444C10" w:rsidRPr="0060224F">
        <w:rPr>
          <w:rFonts w:ascii="Book Antiqua" w:eastAsia="Times New Roman" w:hAnsi="Book Antiqua" w:cs="Times New Roman"/>
          <w:sz w:val="24"/>
          <w:szCs w:val="24"/>
          <w:lang w:val="en" w:eastAsia="en-GB"/>
        </w:rPr>
        <w:br/>
      </w:r>
    </w:p>
    <w:p w:rsidR="00444C10" w:rsidRPr="0060224F" w:rsidRDefault="00430E4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The Wife’s case was that the </w:t>
      </w:r>
      <w:r w:rsidR="00444C10" w:rsidRPr="0060224F">
        <w:rPr>
          <w:rFonts w:ascii="Book Antiqua" w:eastAsia="Times New Roman" w:hAnsi="Book Antiqua" w:cs="Times New Roman"/>
          <w:sz w:val="24"/>
          <w:szCs w:val="24"/>
          <w:lang w:val="en" w:eastAsia="en-GB"/>
        </w:rPr>
        <w:t>Husband has not altered his li</w:t>
      </w:r>
      <w:r w:rsidR="00130314" w:rsidRPr="0060224F">
        <w:rPr>
          <w:rFonts w:ascii="Book Antiqua" w:eastAsia="Times New Roman" w:hAnsi="Book Antiqua" w:cs="Times New Roman"/>
          <w:sz w:val="24"/>
          <w:szCs w:val="24"/>
          <w:lang w:val="en" w:eastAsia="en-GB"/>
        </w:rPr>
        <w:t xml:space="preserve">festyle </w:t>
      </w:r>
      <w:r w:rsidR="00444C10" w:rsidRPr="0060224F">
        <w:rPr>
          <w:rFonts w:ascii="Book Antiqua" w:eastAsia="Times New Roman" w:hAnsi="Book Antiqua" w:cs="Times New Roman"/>
          <w:sz w:val="24"/>
          <w:szCs w:val="24"/>
          <w:lang w:val="en" w:eastAsia="en-GB"/>
        </w:rPr>
        <w:t>or reduced his standard of living in any way.  He continues to live well and spend extravagantly, in particular travelling extensively and expensive holid</w:t>
      </w:r>
      <w:r w:rsidR="00130314" w:rsidRPr="0060224F">
        <w:rPr>
          <w:rFonts w:ascii="Book Antiqua" w:eastAsia="Times New Roman" w:hAnsi="Book Antiqua" w:cs="Times New Roman"/>
          <w:sz w:val="24"/>
          <w:szCs w:val="24"/>
          <w:lang w:val="en" w:eastAsia="en-GB"/>
        </w:rPr>
        <w:t>a</w:t>
      </w:r>
      <w:r w:rsidR="00444C10" w:rsidRPr="0060224F">
        <w:rPr>
          <w:rFonts w:ascii="Book Antiqua" w:eastAsia="Times New Roman" w:hAnsi="Book Antiqua" w:cs="Times New Roman"/>
          <w:sz w:val="24"/>
          <w:szCs w:val="24"/>
          <w:lang w:val="en" w:eastAsia="en-GB"/>
        </w:rPr>
        <w:t>ys. The details of his very high spending on holidays and travel which she provided were known to her because they have involved the children. The Hu</w:t>
      </w:r>
      <w:r w:rsidRPr="0060224F">
        <w:rPr>
          <w:rFonts w:ascii="Book Antiqua" w:eastAsia="Times New Roman" w:hAnsi="Book Antiqua" w:cs="Times New Roman"/>
          <w:sz w:val="24"/>
          <w:szCs w:val="24"/>
          <w:lang w:val="en" w:eastAsia="en-GB"/>
        </w:rPr>
        <w:t>s</w:t>
      </w:r>
      <w:r w:rsidR="00444C10" w:rsidRPr="0060224F">
        <w:rPr>
          <w:rFonts w:ascii="Book Antiqua" w:eastAsia="Times New Roman" w:hAnsi="Book Antiqua" w:cs="Times New Roman"/>
          <w:sz w:val="24"/>
          <w:szCs w:val="24"/>
          <w:lang w:val="en" w:eastAsia="en-GB"/>
        </w:rPr>
        <w:t>band</w:t>
      </w:r>
      <w:r w:rsidRPr="0060224F">
        <w:rPr>
          <w:rFonts w:ascii="Book Antiqua" w:eastAsia="Times New Roman" w:hAnsi="Book Antiqua" w:cs="Times New Roman"/>
          <w:sz w:val="24"/>
          <w:szCs w:val="24"/>
          <w:lang w:val="en" w:eastAsia="en-GB"/>
        </w:rPr>
        <w:t>’s</w:t>
      </w:r>
      <w:r w:rsidR="00444C10" w:rsidRPr="0060224F">
        <w:rPr>
          <w:rFonts w:ascii="Book Antiqua" w:eastAsia="Times New Roman" w:hAnsi="Book Antiqua" w:cs="Times New Roman"/>
          <w:sz w:val="24"/>
          <w:szCs w:val="24"/>
          <w:lang w:val="en" w:eastAsia="en-GB"/>
        </w:rPr>
        <w:t xml:space="preserve"> respo</w:t>
      </w:r>
      <w:r w:rsidRPr="0060224F">
        <w:rPr>
          <w:rFonts w:ascii="Book Antiqua" w:eastAsia="Times New Roman" w:hAnsi="Book Antiqua" w:cs="Times New Roman"/>
          <w:sz w:val="24"/>
          <w:szCs w:val="24"/>
          <w:lang w:val="en" w:eastAsia="en-GB"/>
        </w:rPr>
        <w:t xml:space="preserve">nse </w:t>
      </w:r>
      <w:r w:rsidR="00444C10" w:rsidRPr="0060224F">
        <w:rPr>
          <w:rFonts w:ascii="Book Antiqua" w:eastAsia="Times New Roman" w:hAnsi="Book Antiqua" w:cs="Times New Roman"/>
          <w:sz w:val="24"/>
          <w:szCs w:val="24"/>
          <w:lang w:val="en" w:eastAsia="en-GB"/>
        </w:rPr>
        <w:t xml:space="preserve">was that he was suffering </w:t>
      </w:r>
      <w:r w:rsidRPr="0060224F">
        <w:rPr>
          <w:rFonts w:ascii="Book Antiqua" w:eastAsia="Times New Roman" w:hAnsi="Book Antiqua" w:cs="Times New Roman"/>
          <w:sz w:val="24"/>
          <w:szCs w:val="24"/>
          <w:lang w:val="en" w:eastAsia="en-GB"/>
        </w:rPr>
        <w:t xml:space="preserve">from </w:t>
      </w:r>
      <w:r w:rsidR="00444C10" w:rsidRPr="0060224F">
        <w:rPr>
          <w:rFonts w:ascii="Book Antiqua" w:eastAsia="Times New Roman" w:hAnsi="Book Antiqua" w:cs="Times New Roman"/>
          <w:sz w:val="24"/>
          <w:szCs w:val="24"/>
          <w:lang w:val="en" w:eastAsia="en-GB"/>
        </w:rPr>
        <w:t>the total collapse of the trading business which he was involved in and which had provided his salary and bonus.</w:t>
      </w:r>
    </w:p>
    <w:p w:rsidR="0060224F" w:rsidRDefault="0060224F" w:rsidP="0060224F">
      <w:pPr>
        <w:pStyle w:val="NoSpacing"/>
        <w:jc w:val="both"/>
        <w:rPr>
          <w:rFonts w:ascii="Book Antiqua" w:eastAsia="Times New Roman" w:hAnsi="Book Antiqua" w:cs="Times New Roman"/>
          <w:sz w:val="24"/>
          <w:szCs w:val="24"/>
          <w:lang w:val="en" w:eastAsia="en-GB"/>
        </w:rPr>
      </w:pPr>
    </w:p>
    <w:p w:rsidR="00D53EBB" w:rsidRDefault="00430E4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The</w:t>
      </w:r>
      <w:r w:rsidR="00C11F50" w:rsidRPr="0060224F">
        <w:rPr>
          <w:rFonts w:ascii="Book Antiqua" w:eastAsia="Times New Roman" w:hAnsi="Book Antiqua" w:cs="Times New Roman"/>
          <w:sz w:val="24"/>
          <w:szCs w:val="24"/>
          <w:lang w:val="en" w:eastAsia="en-GB"/>
        </w:rPr>
        <w:t xml:space="preserve">re were </w:t>
      </w:r>
      <w:r w:rsidR="00130314" w:rsidRPr="0060224F">
        <w:rPr>
          <w:rFonts w:ascii="Book Antiqua" w:eastAsia="Times New Roman" w:hAnsi="Book Antiqua" w:cs="Times New Roman"/>
          <w:sz w:val="24"/>
          <w:szCs w:val="24"/>
          <w:lang w:val="en" w:eastAsia="en-GB"/>
        </w:rPr>
        <w:t xml:space="preserve">three </w:t>
      </w:r>
      <w:r w:rsidRPr="0060224F">
        <w:rPr>
          <w:rFonts w:ascii="Book Antiqua" w:eastAsia="Times New Roman" w:hAnsi="Book Antiqua" w:cs="Times New Roman"/>
          <w:sz w:val="24"/>
          <w:szCs w:val="24"/>
          <w:lang w:val="en" w:eastAsia="en-GB"/>
        </w:rPr>
        <w:t xml:space="preserve">specific questions that </w:t>
      </w:r>
      <w:r w:rsidR="00C64416" w:rsidRPr="0060224F">
        <w:rPr>
          <w:rFonts w:ascii="Book Antiqua" w:eastAsia="Times New Roman" w:hAnsi="Book Antiqua" w:cs="Times New Roman"/>
          <w:sz w:val="24"/>
          <w:szCs w:val="24"/>
          <w:lang w:val="en" w:eastAsia="en-GB"/>
        </w:rPr>
        <w:t xml:space="preserve">Moylan J </w:t>
      </w:r>
      <w:r w:rsidRPr="0060224F">
        <w:rPr>
          <w:rFonts w:ascii="Book Antiqua" w:eastAsia="Times New Roman" w:hAnsi="Book Antiqua" w:cs="Times New Roman"/>
          <w:sz w:val="24"/>
          <w:szCs w:val="24"/>
          <w:lang w:val="en" w:eastAsia="en-GB"/>
        </w:rPr>
        <w:t>had to ask himself</w:t>
      </w:r>
      <w:r w:rsidR="00C11F50" w:rsidRPr="0060224F">
        <w:rPr>
          <w:rFonts w:ascii="Book Antiqua" w:eastAsia="Times New Roman" w:hAnsi="Book Antiqua" w:cs="Times New Roman"/>
          <w:sz w:val="24"/>
          <w:szCs w:val="24"/>
          <w:lang w:val="en" w:eastAsia="en-GB"/>
        </w:rPr>
        <w:t>. The first was whether the H</w:t>
      </w:r>
      <w:r w:rsidR="00130314" w:rsidRPr="0060224F">
        <w:rPr>
          <w:rFonts w:ascii="Book Antiqua" w:eastAsia="Times New Roman" w:hAnsi="Book Antiqua" w:cs="Times New Roman"/>
          <w:sz w:val="24"/>
          <w:szCs w:val="24"/>
          <w:lang w:val="en" w:eastAsia="en-GB"/>
        </w:rPr>
        <w:t xml:space="preserve">usband </w:t>
      </w:r>
      <w:r w:rsidR="00C11F50" w:rsidRPr="0060224F">
        <w:rPr>
          <w:rFonts w:ascii="Book Antiqua" w:eastAsia="Times New Roman" w:hAnsi="Book Antiqua" w:cs="Times New Roman"/>
          <w:sz w:val="24"/>
          <w:szCs w:val="24"/>
          <w:lang w:val="en" w:eastAsia="en-GB"/>
        </w:rPr>
        <w:t xml:space="preserve">was in default of </w:t>
      </w:r>
      <w:r w:rsidR="00C64416" w:rsidRPr="0060224F">
        <w:rPr>
          <w:rFonts w:ascii="Book Antiqua" w:eastAsia="Times New Roman" w:hAnsi="Book Antiqua" w:cs="Times New Roman"/>
          <w:sz w:val="24"/>
          <w:szCs w:val="24"/>
          <w:lang w:val="en" w:eastAsia="en-GB"/>
        </w:rPr>
        <w:t xml:space="preserve">the £428,200 </w:t>
      </w:r>
      <w:r w:rsidR="00C11F50" w:rsidRPr="0060224F">
        <w:rPr>
          <w:rFonts w:ascii="Book Antiqua" w:eastAsia="Times New Roman" w:hAnsi="Book Antiqua" w:cs="Times New Roman"/>
          <w:sz w:val="24"/>
          <w:szCs w:val="24"/>
          <w:lang w:val="en" w:eastAsia="en-GB"/>
        </w:rPr>
        <w:t xml:space="preserve">as </w:t>
      </w:r>
      <w:r w:rsidR="00C64416" w:rsidRPr="0060224F">
        <w:rPr>
          <w:rFonts w:ascii="Book Antiqua" w:eastAsia="Times New Roman" w:hAnsi="Book Antiqua" w:cs="Times New Roman"/>
          <w:sz w:val="24"/>
          <w:szCs w:val="24"/>
          <w:lang w:val="en" w:eastAsia="en-GB"/>
        </w:rPr>
        <w:t>alleged by the Wife</w:t>
      </w:r>
      <w:r w:rsidR="00130314" w:rsidRPr="0060224F">
        <w:rPr>
          <w:rFonts w:ascii="Book Antiqua" w:eastAsia="Times New Roman" w:hAnsi="Book Antiqua" w:cs="Times New Roman"/>
          <w:sz w:val="24"/>
          <w:szCs w:val="24"/>
          <w:lang w:val="en" w:eastAsia="en-GB"/>
        </w:rPr>
        <w:t>.</w:t>
      </w:r>
      <w:r w:rsidR="00D53EBB" w:rsidRPr="0060224F">
        <w:rPr>
          <w:rFonts w:ascii="Book Antiqua" w:eastAsia="Times New Roman" w:hAnsi="Book Antiqua" w:cs="Times New Roman"/>
          <w:sz w:val="24"/>
          <w:szCs w:val="24"/>
          <w:lang w:val="en" w:eastAsia="en-GB"/>
        </w:rPr>
        <w:t xml:space="preserve"> </w:t>
      </w:r>
      <w:r w:rsidR="00C64416" w:rsidRPr="0060224F">
        <w:rPr>
          <w:rFonts w:ascii="Book Antiqua" w:eastAsia="Times New Roman" w:hAnsi="Book Antiqua" w:cs="Times New Roman"/>
          <w:sz w:val="24"/>
          <w:szCs w:val="24"/>
          <w:lang w:val="en" w:eastAsia="en-GB"/>
        </w:rPr>
        <w:t>He found that the Husband was in default to the sum of £360,200</w:t>
      </w:r>
      <w:r w:rsidR="00C11F50" w:rsidRPr="0060224F">
        <w:rPr>
          <w:rFonts w:ascii="Book Antiqua" w:eastAsia="Times New Roman" w:hAnsi="Book Antiqua" w:cs="Times New Roman"/>
          <w:sz w:val="24"/>
          <w:szCs w:val="24"/>
          <w:lang w:val="en" w:eastAsia="en-GB"/>
        </w:rPr>
        <w:t xml:space="preserve"> as he su</w:t>
      </w:r>
      <w:r w:rsidR="00C64416" w:rsidRPr="0060224F">
        <w:rPr>
          <w:rFonts w:ascii="Book Antiqua" w:eastAsia="Times New Roman" w:hAnsi="Book Antiqua" w:cs="Times New Roman"/>
          <w:sz w:val="24"/>
          <w:szCs w:val="24"/>
          <w:lang w:val="en" w:eastAsia="en-GB"/>
        </w:rPr>
        <w:t>btracted the amount paid by the Husband</w:t>
      </w:r>
      <w:r w:rsidR="00C11F50" w:rsidRPr="0060224F">
        <w:rPr>
          <w:rFonts w:ascii="Book Antiqua" w:eastAsia="Times New Roman" w:hAnsi="Book Antiqua" w:cs="Times New Roman"/>
          <w:sz w:val="24"/>
          <w:szCs w:val="24"/>
          <w:lang w:val="en" w:eastAsia="en-GB"/>
        </w:rPr>
        <w:t xml:space="preserve"> from the </w:t>
      </w:r>
      <w:r w:rsidR="00C64416" w:rsidRPr="0060224F">
        <w:rPr>
          <w:rFonts w:ascii="Book Antiqua" w:eastAsia="Times New Roman" w:hAnsi="Book Antiqua" w:cs="Times New Roman"/>
          <w:sz w:val="24"/>
          <w:szCs w:val="24"/>
          <w:lang w:val="en" w:eastAsia="en-GB"/>
        </w:rPr>
        <w:t xml:space="preserve">total amount </w:t>
      </w:r>
      <w:r w:rsidR="00C11F50" w:rsidRPr="0060224F">
        <w:rPr>
          <w:rFonts w:ascii="Book Antiqua" w:eastAsia="Times New Roman" w:hAnsi="Book Antiqua" w:cs="Times New Roman"/>
          <w:sz w:val="24"/>
          <w:szCs w:val="24"/>
          <w:lang w:val="en" w:eastAsia="en-GB"/>
        </w:rPr>
        <w:t xml:space="preserve">that was </w:t>
      </w:r>
      <w:r w:rsidR="00C64416" w:rsidRPr="0060224F">
        <w:rPr>
          <w:rFonts w:ascii="Book Antiqua" w:eastAsia="Times New Roman" w:hAnsi="Book Antiqua" w:cs="Times New Roman"/>
          <w:sz w:val="24"/>
          <w:szCs w:val="24"/>
          <w:lang w:val="en" w:eastAsia="en-GB"/>
        </w:rPr>
        <w:t>due for the period</w:t>
      </w:r>
      <w:r w:rsidR="00C11F50" w:rsidRPr="0060224F">
        <w:rPr>
          <w:rFonts w:ascii="Book Antiqua" w:eastAsia="Times New Roman" w:hAnsi="Book Antiqua" w:cs="Times New Roman"/>
          <w:sz w:val="24"/>
          <w:szCs w:val="24"/>
          <w:lang w:val="en" w:eastAsia="en-GB"/>
        </w:rPr>
        <w:t xml:space="preserve"> up until April 2013. </w:t>
      </w:r>
    </w:p>
    <w:p w:rsidR="0060224F" w:rsidRPr="0060224F" w:rsidRDefault="0060224F" w:rsidP="0060224F">
      <w:pPr>
        <w:pStyle w:val="NoSpacing"/>
        <w:jc w:val="both"/>
        <w:rPr>
          <w:rFonts w:ascii="Book Antiqua" w:eastAsia="Times New Roman" w:hAnsi="Book Antiqua" w:cs="Times New Roman"/>
          <w:sz w:val="24"/>
          <w:szCs w:val="24"/>
          <w:lang w:val="en" w:eastAsia="en-GB"/>
        </w:rPr>
      </w:pPr>
    </w:p>
    <w:p w:rsidR="00C11F50" w:rsidRPr="0060224F" w:rsidRDefault="00C11F50"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His second question was whether the </w:t>
      </w:r>
      <w:r w:rsidR="00C64416" w:rsidRPr="0060224F">
        <w:rPr>
          <w:rFonts w:ascii="Book Antiqua" w:eastAsia="Times New Roman" w:hAnsi="Book Antiqua" w:cs="Times New Roman"/>
          <w:sz w:val="24"/>
          <w:szCs w:val="24"/>
          <w:lang w:val="en" w:eastAsia="en-GB"/>
        </w:rPr>
        <w:t xml:space="preserve">Wife </w:t>
      </w:r>
      <w:r w:rsidRPr="0060224F">
        <w:rPr>
          <w:rFonts w:ascii="Book Antiqua" w:eastAsia="Times New Roman" w:hAnsi="Book Antiqua" w:cs="Times New Roman"/>
          <w:sz w:val="24"/>
          <w:szCs w:val="24"/>
          <w:lang w:val="en" w:eastAsia="en-GB"/>
        </w:rPr>
        <w:t xml:space="preserve">had </w:t>
      </w:r>
      <w:r w:rsidR="00C64416" w:rsidRPr="0060224F">
        <w:rPr>
          <w:rFonts w:ascii="Book Antiqua" w:eastAsia="Times New Roman" w:hAnsi="Book Antiqua" w:cs="Times New Roman"/>
          <w:sz w:val="24"/>
          <w:szCs w:val="24"/>
          <w:lang w:val="en" w:eastAsia="en-GB"/>
        </w:rPr>
        <w:t>proved that the Husband has or has had since 16th February 2012 the means to pay the sums due in respect</w:t>
      </w:r>
      <w:r w:rsidRPr="0060224F">
        <w:rPr>
          <w:rFonts w:ascii="Book Antiqua" w:eastAsia="Times New Roman" w:hAnsi="Book Antiqua" w:cs="Times New Roman"/>
          <w:sz w:val="24"/>
          <w:szCs w:val="24"/>
          <w:lang w:val="en" w:eastAsia="en-GB"/>
        </w:rPr>
        <w:t xml:space="preserve"> of the periodical payments. </w:t>
      </w:r>
      <w:r w:rsidR="00C64416" w:rsidRPr="0060224F">
        <w:rPr>
          <w:rFonts w:ascii="Book Antiqua" w:eastAsia="Times New Roman" w:hAnsi="Book Antiqua" w:cs="Times New Roman"/>
          <w:sz w:val="24"/>
          <w:szCs w:val="24"/>
          <w:lang w:val="en" w:eastAsia="en-GB"/>
        </w:rPr>
        <w:t>He found that since the 10th February 2012 the Husband had the means to pay the sum of £360,200, for the following reasons:</w:t>
      </w:r>
      <w:r w:rsidRPr="0060224F">
        <w:rPr>
          <w:rFonts w:ascii="Book Antiqua" w:eastAsia="Times New Roman" w:hAnsi="Book Antiqua" w:cs="Times New Roman"/>
          <w:sz w:val="24"/>
          <w:szCs w:val="24"/>
          <w:lang w:val="en" w:eastAsia="en-GB"/>
        </w:rPr>
        <w:t xml:space="preserve"> </w:t>
      </w:r>
    </w:p>
    <w:p w:rsidR="0060224F" w:rsidRDefault="0060224F" w:rsidP="0060224F">
      <w:pPr>
        <w:pStyle w:val="NoSpacing"/>
        <w:jc w:val="both"/>
        <w:rPr>
          <w:rFonts w:ascii="Book Antiqua" w:eastAsia="Times New Roman" w:hAnsi="Book Antiqua" w:cs="Times New Roman"/>
          <w:sz w:val="24"/>
          <w:szCs w:val="24"/>
          <w:lang w:val="en" w:eastAsia="en-GB"/>
        </w:rPr>
      </w:pPr>
    </w:p>
    <w:p w:rsidR="00130314" w:rsidRPr="0060224F" w:rsidRDefault="00C11F50"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i. </w:t>
      </w:r>
      <w:r w:rsidR="00C64416" w:rsidRPr="0060224F">
        <w:rPr>
          <w:rFonts w:ascii="Book Antiqua" w:eastAsia="Times New Roman" w:hAnsi="Book Antiqua" w:cs="Times New Roman"/>
          <w:sz w:val="24"/>
          <w:szCs w:val="24"/>
          <w:lang w:val="en" w:eastAsia="en-GB"/>
        </w:rPr>
        <w:t> The Husband had paid sums totally just under £215,000 as set out in his schedule.</w:t>
      </w:r>
    </w:p>
    <w:p w:rsidR="00C11F50" w:rsidRPr="0060224F" w:rsidRDefault="00C11F50"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ii.</w:t>
      </w:r>
      <w:r w:rsidR="00C64416" w:rsidRPr="0060224F">
        <w:rPr>
          <w:rFonts w:ascii="Book Antiqua" w:eastAsia="Times New Roman" w:hAnsi="Book Antiqua" w:cs="Times New Roman"/>
          <w:sz w:val="24"/>
          <w:szCs w:val="24"/>
          <w:lang w:val="en" w:eastAsia="en-GB"/>
        </w:rPr>
        <w:t xml:space="preserve"> The Husband </w:t>
      </w:r>
      <w:r w:rsidRPr="0060224F">
        <w:rPr>
          <w:rFonts w:ascii="Book Antiqua" w:eastAsia="Times New Roman" w:hAnsi="Book Antiqua" w:cs="Times New Roman"/>
          <w:sz w:val="24"/>
          <w:szCs w:val="24"/>
          <w:lang w:val="en" w:eastAsia="en-GB"/>
        </w:rPr>
        <w:t xml:space="preserve">had </w:t>
      </w:r>
      <w:r w:rsidR="00C64416" w:rsidRPr="0060224F">
        <w:rPr>
          <w:rFonts w:ascii="Book Antiqua" w:eastAsia="Times New Roman" w:hAnsi="Book Antiqua" w:cs="Times New Roman"/>
          <w:sz w:val="24"/>
          <w:szCs w:val="24"/>
          <w:lang w:val="en" w:eastAsia="en-GB"/>
        </w:rPr>
        <w:t>applied in April 2012 for an extension of time to the Court of Appeal to enable him to pay the sum of £600,000 in order to enable him to pursue his appeal.  Moylan J was satisfied that he would not have made that application if he had not had the funds available to make the required payment.</w:t>
      </w:r>
      <w:r w:rsidRPr="0060224F">
        <w:rPr>
          <w:rFonts w:ascii="Book Antiqua" w:eastAsia="Times New Roman" w:hAnsi="Book Antiqua" w:cs="Times New Roman"/>
          <w:sz w:val="24"/>
          <w:szCs w:val="24"/>
          <w:lang w:val="en" w:eastAsia="en-GB"/>
        </w:rPr>
        <w:t xml:space="preserve"> </w:t>
      </w:r>
    </w:p>
    <w:p w:rsidR="00130314" w:rsidRPr="0060224F" w:rsidRDefault="00C11F50"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iii. </w:t>
      </w:r>
      <w:r w:rsidR="00C64416" w:rsidRPr="0060224F">
        <w:rPr>
          <w:rFonts w:ascii="Book Antiqua" w:eastAsia="Times New Roman" w:hAnsi="Book Antiqua" w:cs="Times New Roman"/>
          <w:sz w:val="24"/>
          <w:szCs w:val="24"/>
          <w:lang w:val="en" w:eastAsia="en-GB"/>
        </w:rPr>
        <w:t xml:space="preserve">Although the Husband </w:t>
      </w:r>
      <w:r w:rsidR="00FD7713" w:rsidRPr="0060224F">
        <w:rPr>
          <w:rFonts w:ascii="Book Antiqua" w:eastAsia="Times New Roman" w:hAnsi="Book Antiqua" w:cs="Times New Roman"/>
          <w:sz w:val="24"/>
          <w:szCs w:val="24"/>
          <w:lang w:val="en" w:eastAsia="en-GB"/>
        </w:rPr>
        <w:t xml:space="preserve">had given </w:t>
      </w:r>
      <w:r w:rsidR="00C64416" w:rsidRPr="0060224F">
        <w:rPr>
          <w:rFonts w:ascii="Book Antiqua" w:eastAsia="Times New Roman" w:hAnsi="Book Antiqua" w:cs="Times New Roman"/>
          <w:sz w:val="24"/>
          <w:szCs w:val="24"/>
          <w:lang w:val="en" w:eastAsia="en-GB"/>
        </w:rPr>
        <w:t xml:space="preserve">evidence in </w:t>
      </w:r>
      <w:r w:rsidR="00FD7713" w:rsidRPr="0060224F">
        <w:rPr>
          <w:rFonts w:ascii="Book Antiqua" w:eastAsia="Times New Roman" w:hAnsi="Book Antiqua" w:cs="Times New Roman"/>
          <w:sz w:val="24"/>
          <w:szCs w:val="24"/>
          <w:lang w:val="en" w:eastAsia="en-GB"/>
        </w:rPr>
        <w:t xml:space="preserve">the form of </w:t>
      </w:r>
      <w:r w:rsidR="00C64416" w:rsidRPr="0060224F">
        <w:rPr>
          <w:rFonts w:ascii="Book Antiqua" w:eastAsia="Times New Roman" w:hAnsi="Book Antiqua" w:cs="Times New Roman"/>
          <w:sz w:val="24"/>
          <w:szCs w:val="24"/>
          <w:lang w:val="en" w:eastAsia="en-GB"/>
        </w:rPr>
        <w:t xml:space="preserve">three statements, he </w:t>
      </w:r>
      <w:r w:rsidR="00FD7713" w:rsidRPr="0060224F">
        <w:rPr>
          <w:rFonts w:ascii="Book Antiqua" w:eastAsia="Times New Roman" w:hAnsi="Book Antiqua" w:cs="Times New Roman"/>
          <w:sz w:val="24"/>
          <w:szCs w:val="24"/>
          <w:lang w:val="en" w:eastAsia="en-GB"/>
        </w:rPr>
        <w:t xml:space="preserve">had </w:t>
      </w:r>
      <w:r w:rsidR="00C64416" w:rsidRPr="0060224F">
        <w:rPr>
          <w:rFonts w:ascii="Book Antiqua" w:eastAsia="Times New Roman" w:hAnsi="Book Antiqua" w:cs="Times New Roman"/>
          <w:sz w:val="24"/>
          <w:szCs w:val="24"/>
          <w:lang w:val="en" w:eastAsia="en-GB"/>
        </w:rPr>
        <w:t>failed to provide any proper exposition of his financial circumstances.</w:t>
      </w:r>
    </w:p>
    <w:p w:rsidR="00FD7713" w:rsidRPr="0060224F" w:rsidRDefault="00FD771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iv. </w:t>
      </w:r>
      <w:r w:rsidR="00C64416" w:rsidRPr="0060224F">
        <w:rPr>
          <w:rFonts w:ascii="Book Antiqua" w:eastAsia="Times New Roman" w:hAnsi="Book Antiqua" w:cs="Times New Roman"/>
          <w:sz w:val="24"/>
          <w:szCs w:val="24"/>
          <w:lang w:val="en" w:eastAsia="en-GB"/>
        </w:rPr>
        <w:t xml:space="preserve">The case advanced by the Husband as to the collapse of his trading business, as set out in his first statement in answer to the judgment summons, was inconsistent with his case as advanced in 2011.  </w:t>
      </w:r>
    </w:p>
    <w:p w:rsidR="00C64416" w:rsidRPr="0060224F" w:rsidRDefault="00FD771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v. </w:t>
      </w:r>
      <w:r w:rsidR="00C64416" w:rsidRPr="0060224F">
        <w:rPr>
          <w:rFonts w:ascii="Book Antiqua" w:eastAsia="Times New Roman" w:hAnsi="Book Antiqua" w:cs="Times New Roman"/>
          <w:sz w:val="24"/>
          <w:szCs w:val="24"/>
          <w:lang w:val="en" w:eastAsia="en-GB"/>
        </w:rPr>
        <w:t>The Wife's evidence as to the Husband's extravagant holiday expenditure incurred in 2012 and 2013 was preferred over the Husband's evidence.</w:t>
      </w:r>
    </w:p>
    <w:p w:rsidR="0060224F" w:rsidRDefault="0060224F" w:rsidP="0060224F">
      <w:pPr>
        <w:pStyle w:val="NoSpacing"/>
        <w:jc w:val="both"/>
        <w:rPr>
          <w:rFonts w:ascii="Book Antiqua" w:eastAsia="Times New Roman" w:hAnsi="Book Antiqua" w:cs="Times New Roman"/>
          <w:sz w:val="24"/>
          <w:szCs w:val="24"/>
          <w:lang w:val="en" w:eastAsia="en-GB"/>
        </w:rPr>
      </w:pPr>
    </w:p>
    <w:p w:rsidR="00130314" w:rsidRPr="0060224F" w:rsidRDefault="00FD7713"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The third question as to w</w:t>
      </w:r>
      <w:r w:rsidR="00C64416" w:rsidRPr="0060224F">
        <w:rPr>
          <w:rFonts w:ascii="Book Antiqua" w:eastAsia="Times New Roman" w:hAnsi="Book Antiqua" w:cs="Times New Roman"/>
          <w:sz w:val="24"/>
          <w:szCs w:val="24"/>
          <w:lang w:val="en" w:eastAsia="en-GB"/>
        </w:rPr>
        <w:t>hether the Husband has refused or neglected to pay the sum</w:t>
      </w:r>
      <w:r w:rsidRPr="0060224F">
        <w:rPr>
          <w:rFonts w:ascii="Book Antiqua" w:eastAsia="Times New Roman" w:hAnsi="Book Antiqua" w:cs="Times New Roman"/>
          <w:sz w:val="24"/>
          <w:szCs w:val="24"/>
          <w:lang w:val="en" w:eastAsia="en-GB"/>
        </w:rPr>
        <w:t xml:space="preserve"> </w:t>
      </w:r>
      <w:r w:rsidR="00C64416" w:rsidRPr="0060224F">
        <w:rPr>
          <w:rFonts w:ascii="Book Antiqua" w:eastAsia="Times New Roman" w:hAnsi="Book Antiqua" w:cs="Times New Roman"/>
          <w:sz w:val="24"/>
          <w:szCs w:val="24"/>
          <w:lang w:val="en" w:eastAsia="en-GB"/>
        </w:rPr>
        <w:t>due</w:t>
      </w:r>
      <w:r w:rsidRPr="0060224F">
        <w:rPr>
          <w:rFonts w:ascii="Book Antiqua" w:eastAsia="Times New Roman" w:hAnsi="Book Antiqua" w:cs="Times New Roman"/>
          <w:sz w:val="24"/>
          <w:szCs w:val="24"/>
          <w:lang w:val="en" w:eastAsia="en-GB"/>
        </w:rPr>
        <w:t xml:space="preserve"> was found in the positive in light of the above findings. </w:t>
      </w:r>
      <w:r w:rsidR="00C64416" w:rsidRPr="0060224F">
        <w:rPr>
          <w:rFonts w:ascii="Book Antiqua" w:eastAsia="Times New Roman" w:hAnsi="Book Antiqua" w:cs="Times New Roman"/>
          <w:sz w:val="24"/>
          <w:szCs w:val="24"/>
          <w:lang w:val="en" w:eastAsia="en-GB"/>
        </w:rPr>
        <w:br/>
      </w:r>
      <w:r w:rsidR="00C64416" w:rsidRPr="0060224F">
        <w:rPr>
          <w:rFonts w:ascii="Book Antiqua" w:eastAsia="Times New Roman" w:hAnsi="Book Antiqua" w:cs="Times New Roman"/>
          <w:sz w:val="24"/>
          <w:szCs w:val="24"/>
          <w:lang w:val="en" w:eastAsia="en-GB"/>
        </w:rPr>
        <w:br/>
      </w:r>
      <w:r w:rsidR="00130314" w:rsidRPr="0060224F">
        <w:rPr>
          <w:rFonts w:ascii="Book Antiqua" w:eastAsia="Times New Roman" w:hAnsi="Book Antiqua" w:cs="Times New Roman"/>
          <w:sz w:val="24"/>
          <w:szCs w:val="24"/>
          <w:lang w:val="en" w:eastAsia="en-GB"/>
        </w:rPr>
        <w:t>Mitigation was heard on behalf of the Husband before deciding the penalty. Although he had continued to pay the school fees for the children and also made substantial payments for the benefit of the wife and the children as set out in the schedule produced by him the court cons</w:t>
      </w:r>
      <w:r w:rsidR="00D53EBB" w:rsidRPr="0060224F">
        <w:rPr>
          <w:rFonts w:ascii="Book Antiqua" w:eastAsia="Times New Roman" w:hAnsi="Book Antiqua" w:cs="Times New Roman"/>
          <w:sz w:val="24"/>
          <w:szCs w:val="24"/>
          <w:lang w:val="en" w:eastAsia="en-GB"/>
        </w:rPr>
        <w:t xml:space="preserve">idered those </w:t>
      </w:r>
      <w:r w:rsidR="00130314" w:rsidRPr="0060224F">
        <w:rPr>
          <w:rFonts w:ascii="Book Antiqua" w:eastAsia="Times New Roman" w:hAnsi="Book Antiqua" w:cs="Times New Roman"/>
          <w:sz w:val="24"/>
          <w:szCs w:val="24"/>
          <w:lang w:val="en" w:eastAsia="en-GB"/>
        </w:rPr>
        <w:t xml:space="preserve">payments were made at his </w:t>
      </w:r>
      <w:r w:rsidR="00130314" w:rsidRPr="0060224F">
        <w:rPr>
          <w:rFonts w:ascii="Book Antiqua" w:eastAsia="Times New Roman" w:hAnsi="Book Antiqua" w:cs="Times New Roman"/>
          <w:sz w:val="24"/>
          <w:szCs w:val="24"/>
          <w:lang w:val="en" w:eastAsia="en-GB"/>
        </w:rPr>
        <w:lastRenderedPageBreak/>
        <w:t xml:space="preserve">election; they were not payments which go towards meeting his obligation to pay periodical payments as required by the Order.  The </w:t>
      </w:r>
      <w:r w:rsidR="000334FC">
        <w:rPr>
          <w:rFonts w:ascii="Book Antiqua" w:eastAsia="Times New Roman" w:hAnsi="Book Antiqua" w:cs="Times New Roman"/>
          <w:sz w:val="24"/>
          <w:szCs w:val="24"/>
          <w:lang w:val="en" w:eastAsia="en-GB"/>
        </w:rPr>
        <w:t>c</w:t>
      </w:r>
      <w:r w:rsidR="00130314" w:rsidRPr="0060224F">
        <w:rPr>
          <w:rFonts w:ascii="Book Antiqua" w:eastAsia="Times New Roman" w:hAnsi="Book Antiqua" w:cs="Times New Roman"/>
          <w:sz w:val="24"/>
          <w:szCs w:val="24"/>
          <w:lang w:val="en" w:eastAsia="en-GB"/>
        </w:rPr>
        <w:t xml:space="preserve">ourt also took into account that this was the first application for a judgment summons. </w:t>
      </w:r>
    </w:p>
    <w:p w:rsidR="0060224F" w:rsidRDefault="0060224F" w:rsidP="0060224F">
      <w:pPr>
        <w:pStyle w:val="NoSpacing"/>
        <w:jc w:val="both"/>
        <w:rPr>
          <w:rFonts w:ascii="Book Antiqua" w:eastAsia="Times New Roman" w:hAnsi="Book Antiqua" w:cs="Times New Roman"/>
          <w:sz w:val="24"/>
          <w:szCs w:val="24"/>
          <w:lang w:val="en" w:eastAsia="en-GB"/>
        </w:rPr>
      </w:pPr>
    </w:p>
    <w:p w:rsidR="0025052E" w:rsidRPr="0060224F" w:rsidRDefault="00130314"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The court imposed a sentence of four weeks which was suspended for a three month period. The Husband was given the opportunity to pay the sums due in that period and no interest was included</w:t>
      </w:r>
      <w:r w:rsidR="000334FC">
        <w:rPr>
          <w:rFonts w:ascii="Book Antiqua" w:eastAsia="Times New Roman" w:hAnsi="Book Antiqua" w:cs="Times New Roman"/>
          <w:sz w:val="24"/>
          <w:szCs w:val="24"/>
          <w:lang w:val="en" w:eastAsia="en-GB"/>
        </w:rPr>
        <w:t>. I</w:t>
      </w:r>
      <w:r w:rsidRPr="0060224F">
        <w:rPr>
          <w:rFonts w:ascii="Book Antiqua" w:eastAsia="Times New Roman" w:hAnsi="Book Antiqua" w:cs="Times New Roman"/>
          <w:sz w:val="24"/>
          <w:szCs w:val="24"/>
          <w:lang w:val="en" w:eastAsia="en-GB"/>
        </w:rPr>
        <w:t xml:space="preserve">f he paid within the three months then the sentence will be suspended entirely. </w:t>
      </w:r>
    </w:p>
    <w:p w:rsidR="0060224F" w:rsidRDefault="0060224F" w:rsidP="0060224F">
      <w:pPr>
        <w:pStyle w:val="NoSpacing"/>
        <w:jc w:val="both"/>
        <w:rPr>
          <w:rStyle w:val="Strong"/>
          <w:rFonts w:ascii="Book Antiqua" w:hAnsi="Book Antiqua"/>
          <w:sz w:val="24"/>
          <w:szCs w:val="24"/>
          <w:lang w:val="en"/>
        </w:rPr>
      </w:pPr>
    </w:p>
    <w:p w:rsidR="00B23D32" w:rsidRPr="0060224F" w:rsidRDefault="00444C10" w:rsidP="0060224F">
      <w:pPr>
        <w:pStyle w:val="NoSpacing"/>
        <w:jc w:val="both"/>
        <w:rPr>
          <w:rStyle w:val="Strong"/>
          <w:rFonts w:ascii="Book Antiqua" w:hAnsi="Book Antiqua"/>
          <w:sz w:val="24"/>
          <w:szCs w:val="24"/>
          <w:lang w:val="en"/>
        </w:rPr>
      </w:pPr>
      <w:r w:rsidRPr="0060224F">
        <w:rPr>
          <w:rStyle w:val="Strong"/>
          <w:rFonts w:ascii="Book Antiqua" w:hAnsi="Book Antiqua"/>
          <w:sz w:val="24"/>
          <w:szCs w:val="24"/>
          <w:lang w:val="en"/>
        </w:rPr>
        <w:t>H v W (Costs) [2014] EWHC 2846</w:t>
      </w:r>
    </w:p>
    <w:p w:rsidR="00B23D32" w:rsidRDefault="00444C10" w:rsidP="0060224F">
      <w:pPr>
        <w:pStyle w:val="NoSpacing"/>
        <w:jc w:val="both"/>
        <w:rPr>
          <w:rFonts w:ascii="Book Antiqua" w:hAnsi="Book Antiqua"/>
          <w:sz w:val="24"/>
          <w:szCs w:val="24"/>
          <w:lang w:val="en"/>
        </w:rPr>
      </w:pPr>
      <w:r w:rsidRPr="0060224F">
        <w:rPr>
          <w:rFonts w:ascii="Book Antiqua" w:hAnsi="Book Antiqua"/>
          <w:bCs/>
          <w:sz w:val="24"/>
          <w:szCs w:val="24"/>
          <w:lang w:val="en"/>
        </w:rPr>
        <w:br/>
      </w:r>
      <w:r w:rsidR="00B23D32" w:rsidRPr="0060224F">
        <w:rPr>
          <w:rFonts w:ascii="Book Antiqua" w:hAnsi="Book Antiqua"/>
          <w:sz w:val="24"/>
          <w:szCs w:val="24"/>
          <w:lang w:val="en"/>
        </w:rPr>
        <w:t>This was a</w:t>
      </w:r>
      <w:r w:rsidR="00097596" w:rsidRPr="0060224F">
        <w:rPr>
          <w:rFonts w:ascii="Book Antiqua" w:hAnsi="Book Antiqua"/>
          <w:sz w:val="24"/>
          <w:szCs w:val="24"/>
          <w:lang w:val="en"/>
        </w:rPr>
        <w:t xml:space="preserve"> successful </w:t>
      </w:r>
      <w:r w:rsidRPr="0060224F">
        <w:rPr>
          <w:rFonts w:ascii="Book Antiqua" w:hAnsi="Book Antiqua"/>
          <w:sz w:val="24"/>
          <w:szCs w:val="24"/>
          <w:lang w:val="en"/>
        </w:rPr>
        <w:t xml:space="preserve">application by the </w:t>
      </w:r>
      <w:r w:rsidR="00097596" w:rsidRPr="0060224F">
        <w:rPr>
          <w:rFonts w:ascii="Book Antiqua" w:hAnsi="Book Antiqua"/>
          <w:sz w:val="24"/>
          <w:szCs w:val="24"/>
          <w:lang w:val="en"/>
        </w:rPr>
        <w:t>H</w:t>
      </w:r>
      <w:r w:rsidRPr="0060224F">
        <w:rPr>
          <w:rFonts w:ascii="Book Antiqua" w:hAnsi="Book Antiqua"/>
          <w:sz w:val="24"/>
          <w:szCs w:val="24"/>
          <w:lang w:val="en"/>
        </w:rPr>
        <w:t xml:space="preserve">usband that an order for costs should be made against the </w:t>
      </w:r>
      <w:r w:rsidR="00097596" w:rsidRPr="0060224F">
        <w:rPr>
          <w:rFonts w:ascii="Book Antiqua" w:hAnsi="Book Antiqua"/>
          <w:sz w:val="24"/>
          <w:szCs w:val="24"/>
          <w:lang w:val="en"/>
        </w:rPr>
        <w:t>Wife</w:t>
      </w:r>
      <w:r w:rsidRPr="0060224F">
        <w:rPr>
          <w:rFonts w:ascii="Book Antiqua" w:hAnsi="Book Antiqua"/>
          <w:sz w:val="24"/>
          <w:szCs w:val="24"/>
          <w:lang w:val="en"/>
        </w:rPr>
        <w:t xml:space="preserve"> following the </w:t>
      </w:r>
      <w:r w:rsidR="00097596" w:rsidRPr="0060224F">
        <w:rPr>
          <w:rFonts w:ascii="Book Antiqua" w:hAnsi="Book Antiqua"/>
          <w:sz w:val="24"/>
          <w:szCs w:val="24"/>
          <w:lang w:val="en"/>
        </w:rPr>
        <w:t>H</w:t>
      </w:r>
      <w:r w:rsidRPr="0060224F">
        <w:rPr>
          <w:rFonts w:ascii="Book Antiqua" w:hAnsi="Book Antiqua"/>
          <w:sz w:val="24"/>
          <w:szCs w:val="24"/>
          <w:lang w:val="en"/>
        </w:rPr>
        <w:t>usband's successful appeal against an order</w:t>
      </w:r>
      <w:r w:rsidR="0060224F">
        <w:rPr>
          <w:rFonts w:ascii="Book Antiqua" w:hAnsi="Book Antiqua"/>
          <w:sz w:val="24"/>
          <w:szCs w:val="24"/>
          <w:lang w:val="en"/>
        </w:rPr>
        <w:t xml:space="preserve"> </w:t>
      </w:r>
      <w:r w:rsidRPr="0060224F">
        <w:rPr>
          <w:rFonts w:ascii="Book Antiqua" w:hAnsi="Book Antiqua"/>
          <w:sz w:val="24"/>
          <w:szCs w:val="24"/>
          <w:lang w:val="en"/>
        </w:rPr>
        <w:t xml:space="preserve">made in financial remedy proceedings. </w:t>
      </w:r>
      <w:r w:rsidRPr="0060224F">
        <w:rPr>
          <w:rFonts w:ascii="Book Antiqua" w:hAnsi="Book Antiqua"/>
          <w:sz w:val="24"/>
          <w:szCs w:val="24"/>
          <w:lang w:val="en"/>
        </w:rPr>
        <w:br/>
      </w:r>
      <w:r w:rsidRPr="0060224F">
        <w:rPr>
          <w:rFonts w:ascii="Book Antiqua" w:hAnsi="Book Antiqua"/>
          <w:sz w:val="24"/>
          <w:szCs w:val="24"/>
          <w:lang w:val="en"/>
        </w:rPr>
        <w:br/>
      </w:r>
      <w:r w:rsidR="00263302" w:rsidRPr="0060224F">
        <w:rPr>
          <w:rFonts w:ascii="Book Antiqua" w:hAnsi="Book Antiqua"/>
          <w:sz w:val="24"/>
          <w:szCs w:val="24"/>
          <w:lang w:val="en"/>
        </w:rPr>
        <w:t xml:space="preserve">In the application for permission to appeal, Mr Justice Mostyn had given a strong </w:t>
      </w:r>
      <w:r w:rsidR="003B6FC3" w:rsidRPr="0060224F">
        <w:rPr>
          <w:rFonts w:ascii="Book Antiqua" w:hAnsi="Book Antiqua"/>
          <w:sz w:val="24"/>
          <w:szCs w:val="24"/>
          <w:lang w:val="en"/>
        </w:rPr>
        <w:t>indication</w:t>
      </w:r>
      <w:r w:rsidR="00263302" w:rsidRPr="0060224F">
        <w:rPr>
          <w:rFonts w:ascii="Book Antiqua" w:hAnsi="Book Antiqua"/>
          <w:sz w:val="24"/>
          <w:szCs w:val="24"/>
          <w:lang w:val="en"/>
        </w:rPr>
        <w:t xml:space="preserve"> that the correct solution to the issue </w:t>
      </w:r>
      <w:r w:rsidR="003B6FC3" w:rsidRPr="0060224F">
        <w:rPr>
          <w:rFonts w:ascii="Book Antiqua" w:hAnsi="Book Antiqua"/>
          <w:sz w:val="24"/>
          <w:szCs w:val="24"/>
          <w:lang w:val="en"/>
        </w:rPr>
        <w:t>of</w:t>
      </w:r>
      <w:r w:rsidR="00263302" w:rsidRPr="0060224F">
        <w:rPr>
          <w:rFonts w:ascii="Book Antiqua" w:hAnsi="Book Antiqua"/>
          <w:sz w:val="24"/>
          <w:szCs w:val="24"/>
          <w:lang w:val="en"/>
        </w:rPr>
        <w:t xml:space="preserve"> the Husband’s bonus payment was for there to be a cap on the share received by the wife. The parties were </w:t>
      </w:r>
      <w:r w:rsidR="003B6FC3" w:rsidRPr="0060224F">
        <w:rPr>
          <w:rFonts w:ascii="Book Antiqua" w:hAnsi="Book Antiqua"/>
          <w:sz w:val="24"/>
          <w:szCs w:val="24"/>
          <w:lang w:val="en"/>
        </w:rPr>
        <w:t>directed to</w:t>
      </w:r>
      <w:r w:rsidR="00263302" w:rsidRPr="0060224F">
        <w:rPr>
          <w:rFonts w:ascii="Book Antiqua" w:hAnsi="Book Antiqua"/>
          <w:sz w:val="24"/>
          <w:szCs w:val="24"/>
          <w:lang w:val="en"/>
        </w:rPr>
        <w:t xml:space="preserve"> embark upon mediation to settle the issue </w:t>
      </w:r>
      <w:r w:rsidR="003B6FC3" w:rsidRPr="0060224F">
        <w:rPr>
          <w:rFonts w:ascii="Book Antiqua" w:hAnsi="Book Antiqua"/>
          <w:sz w:val="24"/>
          <w:szCs w:val="24"/>
          <w:lang w:val="en"/>
        </w:rPr>
        <w:t>of</w:t>
      </w:r>
      <w:r w:rsidR="00263302" w:rsidRPr="0060224F">
        <w:rPr>
          <w:rFonts w:ascii="Book Antiqua" w:hAnsi="Book Antiqua"/>
          <w:sz w:val="24"/>
          <w:szCs w:val="24"/>
          <w:lang w:val="en"/>
        </w:rPr>
        <w:t xml:space="preserve"> the Husband’s bonus payment. The Husband agreed to meet the costs of </w:t>
      </w:r>
      <w:r w:rsidR="003B6FC3" w:rsidRPr="0060224F">
        <w:rPr>
          <w:rFonts w:ascii="Book Antiqua" w:hAnsi="Book Antiqua"/>
          <w:sz w:val="24"/>
          <w:szCs w:val="24"/>
          <w:lang w:val="en"/>
        </w:rPr>
        <w:t>this mediation</w:t>
      </w:r>
      <w:r w:rsidR="00263302" w:rsidRPr="0060224F">
        <w:rPr>
          <w:rFonts w:ascii="Book Antiqua" w:hAnsi="Book Antiqua"/>
          <w:sz w:val="24"/>
          <w:szCs w:val="24"/>
          <w:lang w:val="en"/>
        </w:rPr>
        <w:t xml:space="preserve"> at first instance</w:t>
      </w:r>
      <w:r w:rsidR="003B6FC3" w:rsidRPr="0060224F">
        <w:rPr>
          <w:rFonts w:ascii="Book Antiqua" w:hAnsi="Book Antiqua"/>
          <w:sz w:val="24"/>
          <w:szCs w:val="24"/>
          <w:lang w:val="en"/>
        </w:rPr>
        <w:t>.</w:t>
      </w:r>
      <w:r w:rsidRPr="0060224F">
        <w:rPr>
          <w:rFonts w:ascii="Book Antiqua" w:hAnsi="Book Antiqua"/>
          <w:sz w:val="24"/>
          <w:szCs w:val="24"/>
          <w:lang w:val="en"/>
        </w:rPr>
        <w:t xml:space="preserve"> </w:t>
      </w:r>
      <w:r w:rsidRPr="0060224F">
        <w:rPr>
          <w:rFonts w:ascii="Book Antiqua" w:hAnsi="Book Antiqua"/>
          <w:sz w:val="24"/>
          <w:szCs w:val="24"/>
          <w:lang w:val="en"/>
        </w:rPr>
        <w:br/>
      </w:r>
      <w:r w:rsidRPr="0060224F">
        <w:rPr>
          <w:rFonts w:ascii="Book Antiqua" w:hAnsi="Book Antiqua"/>
          <w:sz w:val="24"/>
          <w:szCs w:val="24"/>
          <w:lang w:val="en"/>
        </w:rPr>
        <w:br/>
      </w:r>
      <w:r w:rsidR="00B23D32" w:rsidRPr="0060224F">
        <w:rPr>
          <w:rFonts w:ascii="Book Antiqua" w:hAnsi="Book Antiqua"/>
          <w:sz w:val="24"/>
          <w:szCs w:val="24"/>
          <w:lang w:val="en"/>
        </w:rPr>
        <w:t>However, m</w:t>
      </w:r>
      <w:r w:rsidRPr="0060224F">
        <w:rPr>
          <w:rFonts w:ascii="Book Antiqua" w:hAnsi="Book Antiqua"/>
          <w:sz w:val="24"/>
          <w:szCs w:val="24"/>
          <w:lang w:val="en"/>
        </w:rPr>
        <w:t>ediation did not take place</w:t>
      </w:r>
      <w:r w:rsidR="00B23D32" w:rsidRPr="0060224F">
        <w:rPr>
          <w:rFonts w:ascii="Book Antiqua" w:hAnsi="Book Antiqua"/>
          <w:sz w:val="24"/>
          <w:szCs w:val="24"/>
          <w:lang w:val="en"/>
        </w:rPr>
        <w:t xml:space="preserve"> as the parties could not agree on a suitable mediator. </w:t>
      </w:r>
      <w:r w:rsidRPr="0060224F">
        <w:rPr>
          <w:rFonts w:ascii="Book Antiqua" w:hAnsi="Book Antiqua"/>
          <w:sz w:val="24"/>
          <w:szCs w:val="24"/>
          <w:lang w:val="en"/>
        </w:rPr>
        <w:t xml:space="preserve">  Mostyn J </w:t>
      </w:r>
      <w:r w:rsidR="00B23D32" w:rsidRPr="0060224F">
        <w:rPr>
          <w:rFonts w:ascii="Book Antiqua" w:hAnsi="Book Antiqua"/>
          <w:sz w:val="24"/>
          <w:szCs w:val="24"/>
          <w:lang w:val="en"/>
        </w:rPr>
        <w:t xml:space="preserve">was critical of the Wife’s </w:t>
      </w:r>
      <w:r w:rsidR="003B6FC3" w:rsidRPr="0060224F">
        <w:rPr>
          <w:rFonts w:ascii="Book Antiqua" w:hAnsi="Book Antiqua"/>
          <w:sz w:val="24"/>
          <w:szCs w:val="24"/>
          <w:lang w:val="en"/>
        </w:rPr>
        <w:t>approach</w:t>
      </w:r>
      <w:r w:rsidR="00B23D32" w:rsidRPr="0060224F">
        <w:rPr>
          <w:rFonts w:ascii="Book Antiqua" w:hAnsi="Book Antiqua"/>
          <w:sz w:val="24"/>
          <w:szCs w:val="24"/>
          <w:lang w:val="en"/>
        </w:rPr>
        <w:t xml:space="preserve"> to mediation </w:t>
      </w:r>
      <w:r w:rsidR="003B6FC3" w:rsidRPr="0060224F">
        <w:rPr>
          <w:rFonts w:ascii="Book Antiqua" w:hAnsi="Book Antiqua"/>
          <w:sz w:val="24"/>
          <w:szCs w:val="24"/>
          <w:lang w:val="en"/>
        </w:rPr>
        <w:t>saying</w:t>
      </w:r>
      <w:r w:rsidR="00B23D32" w:rsidRPr="0060224F">
        <w:rPr>
          <w:rFonts w:ascii="Book Antiqua" w:hAnsi="Book Antiqua"/>
          <w:sz w:val="24"/>
          <w:szCs w:val="24"/>
          <w:lang w:val="en"/>
        </w:rPr>
        <w:t xml:space="preserve"> it was </w:t>
      </w:r>
      <w:r w:rsidR="003B6FC3" w:rsidRPr="0060224F">
        <w:rPr>
          <w:rFonts w:ascii="Book Antiqua" w:hAnsi="Book Antiqua"/>
          <w:sz w:val="24"/>
          <w:szCs w:val="24"/>
          <w:lang w:val="en"/>
        </w:rPr>
        <w:t>unreasonable</w:t>
      </w:r>
      <w:r w:rsidR="00B23D32" w:rsidRPr="0060224F">
        <w:rPr>
          <w:rFonts w:ascii="Book Antiqua" w:hAnsi="Book Antiqua"/>
          <w:sz w:val="24"/>
          <w:szCs w:val="24"/>
          <w:lang w:val="en"/>
        </w:rPr>
        <w:t xml:space="preserve"> in that she was </w:t>
      </w:r>
      <w:r w:rsidR="003B6FC3" w:rsidRPr="0060224F">
        <w:rPr>
          <w:rFonts w:ascii="Book Antiqua" w:hAnsi="Book Antiqua"/>
          <w:sz w:val="24"/>
          <w:szCs w:val="24"/>
          <w:lang w:val="en"/>
        </w:rPr>
        <w:t>insisting</w:t>
      </w:r>
      <w:r w:rsidR="00B23D32" w:rsidRPr="0060224F">
        <w:rPr>
          <w:rFonts w:ascii="Book Antiqua" w:hAnsi="Book Antiqua"/>
          <w:sz w:val="24"/>
          <w:szCs w:val="24"/>
          <w:lang w:val="en"/>
        </w:rPr>
        <w:t xml:space="preserve"> upon </w:t>
      </w:r>
      <w:r w:rsidR="003B6FC3" w:rsidRPr="0060224F">
        <w:rPr>
          <w:rFonts w:ascii="Book Antiqua" w:hAnsi="Book Antiqua"/>
          <w:sz w:val="24"/>
          <w:szCs w:val="24"/>
          <w:lang w:val="en"/>
        </w:rPr>
        <w:t>top</w:t>
      </w:r>
      <w:r w:rsidR="00B23D32" w:rsidRPr="0060224F">
        <w:rPr>
          <w:rFonts w:ascii="Book Antiqua" w:hAnsi="Book Antiqua"/>
          <w:sz w:val="24"/>
          <w:szCs w:val="24"/>
          <w:lang w:val="en"/>
        </w:rPr>
        <w:t xml:space="preserve"> price </w:t>
      </w:r>
      <w:r w:rsidR="003B6FC3" w:rsidRPr="0060224F">
        <w:rPr>
          <w:rFonts w:ascii="Book Antiqua" w:hAnsi="Book Antiqua"/>
          <w:sz w:val="24"/>
          <w:szCs w:val="24"/>
          <w:lang w:val="en"/>
        </w:rPr>
        <w:t>mediation</w:t>
      </w:r>
      <w:r w:rsidR="00B23D32" w:rsidRPr="0060224F">
        <w:rPr>
          <w:rFonts w:ascii="Book Antiqua" w:hAnsi="Book Antiqua"/>
          <w:sz w:val="24"/>
          <w:szCs w:val="24"/>
          <w:lang w:val="en"/>
        </w:rPr>
        <w:t xml:space="preserve"> and upon her </w:t>
      </w:r>
      <w:r w:rsidR="003B6FC3" w:rsidRPr="0060224F">
        <w:rPr>
          <w:rFonts w:ascii="Book Antiqua" w:hAnsi="Book Antiqua"/>
          <w:sz w:val="24"/>
          <w:szCs w:val="24"/>
          <w:lang w:val="en"/>
        </w:rPr>
        <w:t>legal</w:t>
      </w:r>
      <w:r w:rsidR="00B23D32" w:rsidRPr="0060224F">
        <w:rPr>
          <w:rFonts w:ascii="Book Antiqua" w:hAnsi="Book Antiqua"/>
          <w:sz w:val="24"/>
          <w:szCs w:val="24"/>
          <w:lang w:val="en"/>
        </w:rPr>
        <w:t xml:space="preserve"> representative being present during mediation. The matter progressed to a f</w:t>
      </w:r>
      <w:r w:rsidRPr="0060224F">
        <w:rPr>
          <w:rFonts w:ascii="Book Antiqua" w:hAnsi="Book Antiqua"/>
          <w:sz w:val="24"/>
          <w:szCs w:val="24"/>
          <w:lang w:val="en"/>
        </w:rPr>
        <w:t xml:space="preserve">ully contested appeal and the combined costs in respect of the appeal were approximately £48,000.  The husband's appeal to cap the sharing of his bonus payments </w:t>
      </w:r>
      <w:r w:rsidR="003B6FC3" w:rsidRPr="0060224F">
        <w:rPr>
          <w:rFonts w:ascii="Book Antiqua" w:hAnsi="Book Antiqua"/>
          <w:sz w:val="24"/>
          <w:szCs w:val="24"/>
          <w:lang w:val="en"/>
        </w:rPr>
        <w:t>succeeded</w:t>
      </w:r>
      <w:r w:rsidR="00B23D32" w:rsidRPr="0060224F">
        <w:rPr>
          <w:rFonts w:ascii="Book Antiqua" w:hAnsi="Book Antiqua"/>
          <w:sz w:val="24"/>
          <w:szCs w:val="24"/>
          <w:lang w:val="en"/>
        </w:rPr>
        <w:t xml:space="preserve">.  </w:t>
      </w:r>
    </w:p>
    <w:p w:rsidR="0060224F" w:rsidRPr="0060224F" w:rsidRDefault="0060224F" w:rsidP="0060224F">
      <w:pPr>
        <w:pStyle w:val="NoSpacing"/>
        <w:jc w:val="both"/>
        <w:rPr>
          <w:rFonts w:ascii="Book Antiqua" w:hAnsi="Book Antiqua"/>
          <w:sz w:val="24"/>
          <w:szCs w:val="24"/>
          <w:lang w:val="en"/>
        </w:rPr>
      </w:pPr>
    </w:p>
    <w:p w:rsidR="0060224F"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hAnsi="Book Antiqua"/>
          <w:sz w:val="24"/>
          <w:szCs w:val="24"/>
          <w:lang w:val="en"/>
        </w:rPr>
        <w:t xml:space="preserve">Mrs Justice King applying the </w:t>
      </w:r>
      <w:r w:rsidR="00444C10" w:rsidRPr="0060224F">
        <w:rPr>
          <w:rFonts w:ascii="Book Antiqua" w:hAnsi="Book Antiqua"/>
          <w:sz w:val="24"/>
          <w:szCs w:val="24"/>
          <w:lang w:val="en"/>
        </w:rPr>
        <w:t xml:space="preserve">reasoning in </w:t>
      </w:r>
      <w:r w:rsidR="00444C10" w:rsidRPr="0060224F">
        <w:rPr>
          <w:rStyle w:val="Emphasis"/>
          <w:rFonts w:ascii="Book Antiqua" w:hAnsi="Book Antiqua"/>
          <w:sz w:val="24"/>
          <w:szCs w:val="24"/>
          <w:lang w:val="en"/>
        </w:rPr>
        <w:t>Judge v Judge</w:t>
      </w:r>
      <w:r w:rsidR="00444C10" w:rsidRPr="0060224F">
        <w:rPr>
          <w:rFonts w:ascii="Book Antiqua" w:hAnsi="Book Antiqua"/>
          <w:sz w:val="24"/>
          <w:szCs w:val="24"/>
          <w:lang w:val="en"/>
        </w:rPr>
        <w:t xml:space="preserve"> [2009] 1 FLR 1287 and </w:t>
      </w:r>
      <w:r w:rsidR="00444C10" w:rsidRPr="0060224F">
        <w:rPr>
          <w:rStyle w:val="Emphasis"/>
          <w:rFonts w:ascii="Book Antiqua" w:hAnsi="Book Antiqua"/>
          <w:sz w:val="24"/>
          <w:szCs w:val="24"/>
          <w:lang w:val="en"/>
        </w:rPr>
        <w:t>Baker v Rowe</w:t>
      </w:r>
      <w:r w:rsidR="00444C10" w:rsidRPr="0060224F">
        <w:rPr>
          <w:rFonts w:ascii="Book Antiqua" w:hAnsi="Book Antiqua"/>
          <w:sz w:val="24"/>
          <w:szCs w:val="24"/>
          <w:lang w:val="en"/>
        </w:rPr>
        <w:t xml:space="preserve"> [2010] 1 FLR 761 that an appeal was in connection with and not in financial remedy proceedings and therefore, not subject to FPR r28.3(5)</w:t>
      </w:r>
      <w:r w:rsidR="00097596" w:rsidRPr="0060224F">
        <w:rPr>
          <w:rFonts w:ascii="Book Antiqua" w:hAnsi="Book Antiqua"/>
          <w:sz w:val="24"/>
          <w:szCs w:val="24"/>
          <w:lang w:val="en"/>
        </w:rPr>
        <w:t xml:space="preserve"> and nor was the court bound by the general rule </w:t>
      </w:r>
      <w:r w:rsidR="003B6FC3" w:rsidRPr="0060224F">
        <w:rPr>
          <w:rFonts w:ascii="Book Antiqua" w:hAnsi="Book Antiqua"/>
          <w:sz w:val="24"/>
          <w:szCs w:val="24"/>
          <w:lang w:val="en"/>
        </w:rPr>
        <w:t>of</w:t>
      </w:r>
      <w:r w:rsidR="00097596" w:rsidRPr="0060224F">
        <w:rPr>
          <w:rFonts w:ascii="Book Antiqua" w:hAnsi="Book Antiqua"/>
          <w:sz w:val="24"/>
          <w:szCs w:val="24"/>
          <w:lang w:val="en"/>
        </w:rPr>
        <w:t xml:space="preserve"> costs following the event. The court therefore started with a clean sheet when </w:t>
      </w:r>
      <w:r w:rsidR="003B6FC3" w:rsidRPr="0060224F">
        <w:rPr>
          <w:rFonts w:ascii="Book Antiqua" w:hAnsi="Book Antiqua"/>
          <w:sz w:val="24"/>
          <w:szCs w:val="24"/>
          <w:lang w:val="en"/>
        </w:rPr>
        <w:t>exercising</w:t>
      </w:r>
      <w:r w:rsidR="00097596" w:rsidRPr="0060224F">
        <w:rPr>
          <w:rFonts w:ascii="Book Antiqua" w:hAnsi="Book Antiqua"/>
          <w:sz w:val="24"/>
          <w:szCs w:val="24"/>
          <w:lang w:val="en"/>
        </w:rPr>
        <w:t xml:space="preserve"> its discretion as to whether or </w:t>
      </w:r>
      <w:r w:rsidR="003B6FC3" w:rsidRPr="0060224F">
        <w:rPr>
          <w:rFonts w:ascii="Book Antiqua" w:hAnsi="Book Antiqua"/>
          <w:sz w:val="24"/>
          <w:szCs w:val="24"/>
          <w:lang w:val="en"/>
        </w:rPr>
        <w:t>not</w:t>
      </w:r>
      <w:r w:rsidR="00097596" w:rsidRPr="0060224F">
        <w:rPr>
          <w:rFonts w:ascii="Book Antiqua" w:hAnsi="Book Antiqua"/>
          <w:sz w:val="24"/>
          <w:szCs w:val="24"/>
          <w:lang w:val="en"/>
        </w:rPr>
        <w:t xml:space="preserve"> to make an </w:t>
      </w:r>
      <w:r w:rsidR="003B6FC3" w:rsidRPr="0060224F">
        <w:rPr>
          <w:rFonts w:ascii="Book Antiqua" w:hAnsi="Book Antiqua"/>
          <w:sz w:val="24"/>
          <w:szCs w:val="24"/>
          <w:lang w:val="en"/>
        </w:rPr>
        <w:t>order</w:t>
      </w:r>
      <w:r w:rsidR="00097596" w:rsidRPr="0060224F">
        <w:rPr>
          <w:rFonts w:ascii="Book Antiqua" w:hAnsi="Book Antiqua"/>
          <w:sz w:val="24"/>
          <w:szCs w:val="24"/>
          <w:lang w:val="en"/>
        </w:rPr>
        <w:t xml:space="preserve"> for costs. It was held that the Wife’s application was unreasonable and it resulted in denying the Husband the chance to settle the </w:t>
      </w:r>
      <w:r w:rsidR="003B6FC3" w:rsidRPr="0060224F">
        <w:rPr>
          <w:rFonts w:ascii="Book Antiqua" w:hAnsi="Book Antiqua"/>
          <w:sz w:val="24"/>
          <w:szCs w:val="24"/>
          <w:lang w:val="en"/>
        </w:rPr>
        <w:t>matter</w:t>
      </w:r>
      <w:r w:rsidR="00097596" w:rsidRPr="0060224F">
        <w:rPr>
          <w:rFonts w:ascii="Book Antiqua" w:hAnsi="Book Antiqua"/>
          <w:sz w:val="24"/>
          <w:szCs w:val="24"/>
          <w:lang w:val="en"/>
        </w:rPr>
        <w:t xml:space="preserve"> with </w:t>
      </w:r>
      <w:r w:rsidR="003B6FC3" w:rsidRPr="0060224F">
        <w:rPr>
          <w:rFonts w:ascii="Book Antiqua" w:hAnsi="Book Antiqua"/>
          <w:sz w:val="24"/>
          <w:szCs w:val="24"/>
          <w:lang w:val="en"/>
        </w:rPr>
        <w:t>having</w:t>
      </w:r>
      <w:r w:rsidR="00097596" w:rsidRPr="0060224F">
        <w:rPr>
          <w:rFonts w:ascii="Book Antiqua" w:hAnsi="Book Antiqua"/>
          <w:sz w:val="24"/>
          <w:szCs w:val="24"/>
          <w:lang w:val="en"/>
        </w:rPr>
        <w:t xml:space="preserve"> the costs of an appeal. The financial impact on the Wife was taken into account but it was found that she would still be able to pay off her debts and rehouse herself. </w:t>
      </w:r>
      <w:r w:rsidR="00444C10" w:rsidRPr="0060224F">
        <w:rPr>
          <w:rFonts w:ascii="Book Antiqua" w:hAnsi="Book Antiqua"/>
          <w:sz w:val="24"/>
          <w:szCs w:val="24"/>
          <w:lang w:val="en"/>
        </w:rPr>
        <w:t xml:space="preserve"> </w:t>
      </w:r>
      <w:r w:rsidR="00444C10" w:rsidRPr="0060224F">
        <w:rPr>
          <w:rFonts w:ascii="Book Antiqua" w:hAnsi="Book Antiqua"/>
          <w:sz w:val="24"/>
          <w:szCs w:val="24"/>
          <w:lang w:val="en"/>
        </w:rPr>
        <w:br/>
      </w:r>
      <w:r w:rsidR="00444C10" w:rsidRPr="0060224F">
        <w:rPr>
          <w:rFonts w:ascii="Book Antiqua" w:hAnsi="Book Antiqua"/>
          <w:sz w:val="24"/>
          <w:szCs w:val="24"/>
          <w:lang w:val="en"/>
        </w:rPr>
        <w:br/>
      </w:r>
    </w:p>
    <w:p w:rsidR="0060224F" w:rsidRDefault="0060224F" w:rsidP="0060224F">
      <w:pPr>
        <w:pStyle w:val="NoSpacing"/>
        <w:jc w:val="both"/>
        <w:rPr>
          <w:rFonts w:ascii="Book Antiqua" w:eastAsia="Times New Roman" w:hAnsi="Book Antiqua" w:cs="Times New Roman"/>
          <w:sz w:val="24"/>
          <w:szCs w:val="24"/>
          <w:lang w:val="en" w:eastAsia="en-GB"/>
        </w:rPr>
      </w:pPr>
    </w:p>
    <w:p w:rsidR="00B23D32" w:rsidRDefault="00B23D32" w:rsidP="0060224F">
      <w:pPr>
        <w:pStyle w:val="NoSpacing"/>
        <w:jc w:val="both"/>
        <w:rPr>
          <w:rFonts w:ascii="Book Antiqua" w:eastAsia="Times New Roman" w:hAnsi="Book Antiqua" w:cs="Times New Roman"/>
          <w:b/>
          <w:sz w:val="24"/>
          <w:szCs w:val="24"/>
          <w:lang w:val="en" w:eastAsia="en-GB"/>
        </w:rPr>
      </w:pPr>
      <w:r w:rsidRPr="0060224F">
        <w:rPr>
          <w:rFonts w:ascii="Book Antiqua" w:eastAsia="Times New Roman" w:hAnsi="Book Antiqua" w:cs="Times New Roman"/>
          <w:b/>
          <w:sz w:val="24"/>
          <w:szCs w:val="24"/>
          <w:lang w:val="en" w:eastAsia="en-GB"/>
        </w:rPr>
        <w:t>Murphy v Murphy [2014] EWHC 2263 (Fam)</w:t>
      </w:r>
    </w:p>
    <w:p w:rsidR="0060224F" w:rsidRPr="0060224F" w:rsidRDefault="0060224F" w:rsidP="0060224F">
      <w:pPr>
        <w:pStyle w:val="NoSpacing"/>
        <w:jc w:val="both"/>
        <w:rPr>
          <w:rFonts w:ascii="Book Antiqua" w:eastAsia="Times New Roman" w:hAnsi="Book Antiqua" w:cs="Times New Roman"/>
          <w:b/>
          <w:sz w:val="24"/>
          <w:szCs w:val="24"/>
          <w:lang w:val="en" w:eastAsia="en-GB"/>
        </w:rPr>
      </w:pPr>
    </w:p>
    <w:p w:rsidR="00B23D32"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This is an interesting case on the length of term that a periodical payments should be made for in cases where the factual scenario is quite common.</w:t>
      </w:r>
      <w:r w:rsidR="0060224F">
        <w:rPr>
          <w:rFonts w:ascii="Book Antiqua" w:eastAsia="Times New Roman" w:hAnsi="Book Antiqua" w:cs="Times New Roman"/>
          <w:sz w:val="24"/>
          <w:szCs w:val="24"/>
          <w:lang w:val="en" w:eastAsia="en-GB"/>
        </w:rPr>
        <w:t xml:space="preserve"> </w:t>
      </w:r>
    </w:p>
    <w:p w:rsidR="0060224F" w:rsidRPr="0060224F" w:rsidRDefault="0060224F" w:rsidP="0060224F">
      <w:pPr>
        <w:pStyle w:val="NoSpacing"/>
        <w:jc w:val="both"/>
        <w:rPr>
          <w:rFonts w:ascii="Book Antiqua" w:eastAsia="Times New Roman" w:hAnsi="Book Antiqua" w:cs="Times New Roman"/>
          <w:sz w:val="24"/>
          <w:szCs w:val="24"/>
          <w:lang w:val="en" w:eastAsia="en-GB"/>
        </w:rPr>
      </w:pPr>
    </w:p>
    <w:p w:rsidR="00B23D32"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This </w:t>
      </w:r>
      <w:r w:rsidR="003B6FC3" w:rsidRPr="0060224F">
        <w:rPr>
          <w:rFonts w:ascii="Book Antiqua" w:eastAsia="Times New Roman" w:hAnsi="Book Antiqua" w:cs="Times New Roman"/>
          <w:sz w:val="24"/>
          <w:szCs w:val="24"/>
          <w:lang w:val="en" w:eastAsia="en-GB"/>
        </w:rPr>
        <w:t>relationship</w:t>
      </w:r>
      <w:r w:rsidRPr="0060224F">
        <w:rPr>
          <w:rFonts w:ascii="Book Antiqua" w:eastAsia="Times New Roman" w:hAnsi="Book Antiqua" w:cs="Times New Roman"/>
          <w:sz w:val="24"/>
          <w:szCs w:val="24"/>
          <w:lang w:val="en" w:eastAsia="en-GB"/>
        </w:rPr>
        <w:t xml:space="preserve"> lasted 8 years </w:t>
      </w:r>
      <w:r w:rsidR="003B6FC3" w:rsidRPr="0060224F">
        <w:rPr>
          <w:rFonts w:ascii="Book Antiqua" w:eastAsia="Times New Roman" w:hAnsi="Book Antiqua" w:cs="Times New Roman"/>
          <w:sz w:val="24"/>
          <w:szCs w:val="24"/>
          <w:lang w:val="en" w:eastAsia="en-GB"/>
        </w:rPr>
        <w:t>encompassing</w:t>
      </w:r>
      <w:r w:rsidRPr="0060224F">
        <w:rPr>
          <w:rFonts w:ascii="Book Antiqua" w:eastAsia="Times New Roman" w:hAnsi="Book Antiqua" w:cs="Times New Roman"/>
          <w:sz w:val="24"/>
          <w:szCs w:val="24"/>
          <w:lang w:val="en" w:eastAsia="en-GB"/>
        </w:rPr>
        <w:t xml:space="preserve"> cohabitation and marriage. The Wife was aged 42 and the Husband was 35. They had a set of 3 year old twins which lived </w:t>
      </w:r>
      <w:r w:rsidRPr="0060224F">
        <w:rPr>
          <w:rFonts w:ascii="Book Antiqua" w:eastAsia="Times New Roman" w:hAnsi="Book Antiqua" w:cs="Times New Roman"/>
          <w:sz w:val="24"/>
          <w:szCs w:val="24"/>
          <w:lang w:val="en" w:eastAsia="en-GB"/>
        </w:rPr>
        <w:lastRenderedPageBreak/>
        <w:t xml:space="preserve">with the Wife. In the past the W was a graduate who has worked as a website trading </w:t>
      </w:r>
      <w:r w:rsidR="003B6FC3" w:rsidRPr="0060224F">
        <w:rPr>
          <w:rFonts w:ascii="Book Antiqua" w:eastAsia="Times New Roman" w:hAnsi="Book Antiqua" w:cs="Times New Roman"/>
          <w:sz w:val="24"/>
          <w:szCs w:val="24"/>
          <w:lang w:val="en" w:eastAsia="en-GB"/>
        </w:rPr>
        <w:t>manager</w:t>
      </w:r>
      <w:r w:rsidRPr="0060224F">
        <w:rPr>
          <w:rFonts w:ascii="Book Antiqua" w:eastAsia="Times New Roman" w:hAnsi="Book Antiqua" w:cs="Times New Roman"/>
          <w:sz w:val="24"/>
          <w:szCs w:val="24"/>
          <w:lang w:val="en" w:eastAsia="en-GB"/>
        </w:rPr>
        <w:t xml:space="preserve"> earning in </w:t>
      </w:r>
      <w:r w:rsidR="003B6FC3" w:rsidRPr="0060224F">
        <w:rPr>
          <w:rFonts w:ascii="Book Antiqua" w:eastAsia="Times New Roman" w:hAnsi="Book Antiqua" w:cs="Times New Roman"/>
          <w:sz w:val="24"/>
          <w:szCs w:val="24"/>
          <w:lang w:val="en" w:eastAsia="en-GB"/>
        </w:rPr>
        <w:t>the</w:t>
      </w:r>
      <w:r w:rsidRPr="0060224F">
        <w:rPr>
          <w:rFonts w:ascii="Book Antiqua" w:eastAsia="Times New Roman" w:hAnsi="Book Antiqua" w:cs="Times New Roman"/>
          <w:sz w:val="24"/>
          <w:szCs w:val="24"/>
          <w:lang w:val="en" w:eastAsia="en-GB"/>
        </w:rPr>
        <w:t xml:space="preserve"> region of £30,000 p.a. The H</w:t>
      </w:r>
      <w:r w:rsidR="0060224F">
        <w:rPr>
          <w:rFonts w:ascii="Book Antiqua" w:eastAsia="Times New Roman" w:hAnsi="Book Antiqua" w:cs="Times New Roman"/>
          <w:sz w:val="24"/>
          <w:szCs w:val="24"/>
          <w:lang w:val="en" w:eastAsia="en-GB"/>
        </w:rPr>
        <w:t xml:space="preserve">usband </w:t>
      </w:r>
      <w:r w:rsidRPr="0060224F">
        <w:rPr>
          <w:rFonts w:ascii="Book Antiqua" w:eastAsia="Times New Roman" w:hAnsi="Book Antiqua" w:cs="Times New Roman"/>
          <w:sz w:val="24"/>
          <w:szCs w:val="24"/>
          <w:lang w:val="en" w:eastAsia="en-GB"/>
        </w:rPr>
        <w:t xml:space="preserve">was and had been a high earning businessman. </w:t>
      </w:r>
    </w:p>
    <w:p w:rsidR="0060224F" w:rsidRPr="0060224F" w:rsidRDefault="0060224F" w:rsidP="0060224F">
      <w:pPr>
        <w:pStyle w:val="NoSpacing"/>
        <w:jc w:val="both"/>
        <w:rPr>
          <w:rFonts w:ascii="Book Antiqua" w:eastAsia="Times New Roman" w:hAnsi="Book Antiqua" w:cs="Times New Roman"/>
          <w:sz w:val="24"/>
          <w:szCs w:val="24"/>
          <w:lang w:val="en" w:eastAsia="en-GB"/>
        </w:rPr>
      </w:pPr>
    </w:p>
    <w:p w:rsidR="0060224F"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The capital division, pension sharing and the children’s </w:t>
      </w:r>
      <w:r w:rsidR="003B6FC3" w:rsidRPr="0060224F">
        <w:rPr>
          <w:rFonts w:ascii="Book Antiqua" w:eastAsia="Times New Roman" w:hAnsi="Book Antiqua" w:cs="Times New Roman"/>
          <w:sz w:val="24"/>
          <w:szCs w:val="24"/>
          <w:lang w:val="en" w:eastAsia="en-GB"/>
        </w:rPr>
        <w:t>maintenance</w:t>
      </w:r>
      <w:r w:rsidRPr="0060224F">
        <w:rPr>
          <w:rFonts w:ascii="Book Antiqua" w:eastAsia="Times New Roman" w:hAnsi="Book Antiqua" w:cs="Times New Roman"/>
          <w:sz w:val="24"/>
          <w:szCs w:val="24"/>
          <w:lang w:val="en" w:eastAsia="en-GB"/>
        </w:rPr>
        <w:t xml:space="preserve"> has all been agreed and that only </w:t>
      </w:r>
      <w:r w:rsidR="003B6FC3" w:rsidRPr="0060224F">
        <w:rPr>
          <w:rFonts w:ascii="Book Antiqua" w:eastAsia="Times New Roman" w:hAnsi="Book Antiqua" w:cs="Times New Roman"/>
          <w:sz w:val="24"/>
          <w:szCs w:val="24"/>
          <w:lang w:val="en" w:eastAsia="en-GB"/>
        </w:rPr>
        <w:t>outstanding</w:t>
      </w:r>
      <w:r w:rsidRPr="0060224F">
        <w:rPr>
          <w:rFonts w:ascii="Book Antiqua" w:eastAsia="Times New Roman" w:hAnsi="Book Antiqua" w:cs="Times New Roman"/>
          <w:sz w:val="24"/>
          <w:szCs w:val="24"/>
          <w:lang w:val="en" w:eastAsia="en-GB"/>
        </w:rPr>
        <w:t xml:space="preserve"> matter was that of the Wife’s periodical payments, although the quantum had been agreed. </w:t>
      </w:r>
    </w:p>
    <w:p w:rsidR="0060224F" w:rsidRDefault="0060224F" w:rsidP="0060224F">
      <w:pPr>
        <w:pStyle w:val="NoSpacing"/>
        <w:jc w:val="both"/>
        <w:rPr>
          <w:rFonts w:ascii="Book Antiqua" w:eastAsia="Times New Roman" w:hAnsi="Book Antiqua" w:cs="Times New Roman"/>
          <w:sz w:val="24"/>
          <w:szCs w:val="24"/>
          <w:lang w:val="en" w:eastAsia="en-GB"/>
        </w:rPr>
      </w:pPr>
    </w:p>
    <w:p w:rsidR="00B23D32" w:rsidRPr="0060224F"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The outstanding issues were:</w:t>
      </w:r>
    </w:p>
    <w:p w:rsidR="00B23D32" w:rsidRPr="0060224F" w:rsidRDefault="0060224F" w:rsidP="0060224F">
      <w:pPr>
        <w:pStyle w:val="NoSpacing"/>
        <w:jc w:val="both"/>
        <w:rPr>
          <w:rFonts w:ascii="Book Antiqua" w:eastAsia="Times New Roman" w:hAnsi="Book Antiqua" w:cs="Times New Roman"/>
          <w:sz w:val="24"/>
          <w:szCs w:val="24"/>
          <w:lang w:val="en" w:eastAsia="en-GB"/>
        </w:rPr>
      </w:pPr>
      <w:r>
        <w:rPr>
          <w:rFonts w:ascii="Book Antiqua" w:eastAsia="Times New Roman" w:hAnsi="Book Antiqua" w:cs="Times New Roman"/>
          <w:sz w:val="24"/>
          <w:szCs w:val="24"/>
          <w:lang w:val="en" w:eastAsia="en-GB"/>
        </w:rPr>
        <w:t xml:space="preserve">i. </w:t>
      </w:r>
      <w:r w:rsidR="00B23D32" w:rsidRPr="0060224F">
        <w:rPr>
          <w:rFonts w:ascii="Book Antiqua" w:eastAsia="Times New Roman" w:hAnsi="Book Antiqua" w:cs="Times New Roman"/>
          <w:sz w:val="24"/>
          <w:szCs w:val="24"/>
          <w:lang w:val="en" w:eastAsia="en-GB"/>
        </w:rPr>
        <w:t xml:space="preserve">whether the initial </w:t>
      </w:r>
      <w:r w:rsidR="003B6FC3" w:rsidRPr="0060224F">
        <w:rPr>
          <w:rFonts w:ascii="Book Antiqua" w:eastAsia="Times New Roman" w:hAnsi="Book Antiqua" w:cs="Times New Roman"/>
          <w:sz w:val="24"/>
          <w:szCs w:val="24"/>
          <w:lang w:val="en" w:eastAsia="en-GB"/>
        </w:rPr>
        <w:t>step-down</w:t>
      </w:r>
      <w:r w:rsidR="00B23D32" w:rsidRPr="0060224F">
        <w:rPr>
          <w:rFonts w:ascii="Book Antiqua" w:eastAsia="Times New Roman" w:hAnsi="Book Antiqua" w:cs="Times New Roman"/>
          <w:sz w:val="24"/>
          <w:szCs w:val="24"/>
          <w:lang w:val="en" w:eastAsia="en-GB"/>
        </w:rPr>
        <w:t xml:space="preserve"> in the Wife’s </w:t>
      </w:r>
      <w:r w:rsidR="003B6FC3" w:rsidRPr="0060224F">
        <w:rPr>
          <w:rFonts w:ascii="Book Antiqua" w:eastAsia="Times New Roman" w:hAnsi="Book Antiqua" w:cs="Times New Roman"/>
          <w:sz w:val="24"/>
          <w:szCs w:val="24"/>
          <w:lang w:val="en" w:eastAsia="en-GB"/>
        </w:rPr>
        <w:t>maintained</w:t>
      </w:r>
      <w:r w:rsidR="00B23D32" w:rsidRPr="0060224F">
        <w:rPr>
          <w:rFonts w:ascii="Book Antiqua" w:eastAsia="Times New Roman" w:hAnsi="Book Antiqua" w:cs="Times New Roman"/>
          <w:sz w:val="24"/>
          <w:szCs w:val="24"/>
          <w:lang w:val="en" w:eastAsia="en-GB"/>
        </w:rPr>
        <w:t xml:space="preserve"> should be defined in time and </w:t>
      </w:r>
      <w:r w:rsidR="003B6FC3" w:rsidRPr="0060224F">
        <w:rPr>
          <w:rFonts w:ascii="Book Antiqua" w:eastAsia="Times New Roman" w:hAnsi="Book Antiqua" w:cs="Times New Roman"/>
          <w:sz w:val="24"/>
          <w:szCs w:val="24"/>
          <w:lang w:val="en" w:eastAsia="en-GB"/>
        </w:rPr>
        <w:t>whether</w:t>
      </w:r>
      <w:r w:rsidR="00B23D32" w:rsidRPr="0060224F">
        <w:rPr>
          <w:rFonts w:ascii="Book Antiqua" w:eastAsia="Times New Roman" w:hAnsi="Book Antiqua" w:cs="Times New Roman"/>
          <w:sz w:val="24"/>
          <w:szCs w:val="24"/>
          <w:lang w:val="en" w:eastAsia="en-GB"/>
        </w:rPr>
        <w:t xml:space="preserve"> there should be further step down </w:t>
      </w:r>
      <w:r w:rsidR="003B6FC3" w:rsidRPr="0060224F">
        <w:rPr>
          <w:rFonts w:ascii="Book Antiqua" w:eastAsia="Times New Roman" w:hAnsi="Book Antiqua" w:cs="Times New Roman"/>
          <w:sz w:val="24"/>
          <w:szCs w:val="24"/>
          <w:lang w:val="en" w:eastAsia="en-GB"/>
        </w:rPr>
        <w:t>thereafter</w:t>
      </w:r>
      <w:r w:rsidR="00B23D32" w:rsidRPr="0060224F">
        <w:rPr>
          <w:rFonts w:ascii="Book Antiqua" w:eastAsia="Times New Roman" w:hAnsi="Book Antiqua" w:cs="Times New Roman"/>
          <w:sz w:val="24"/>
          <w:szCs w:val="24"/>
          <w:lang w:val="en" w:eastAsia="en-GB"/>
        </w:rPr>
        <w:t>;</w:t>
      </w:r>
    </w:p>
    <w:p w:rsidR="00B23D32" w:rsidRPr="0060224F" w:rsidRDefault="00B23D32" w:rsidP="0060224F">
      <w:pPr>
        <w:pStyle w:val="NoSpacing"/>
        <w:jc w:val="both"/>
        <w:rPr>
          <w:rFonts w:ascii="Book Antiqua" w:eastAsia="Times New Roman" w:hAnsi="Book Antiqua" w:cs="Times New Roman"/>
          <w:sz w:val="24"/>
          <w:szCs w:val="24"/>
          <w:lang w:val="en" w:eastAsia="en-GB"/>
        </w:rPr>
      </w:pPr>
      <w:r w:rsidRPr="0060224F">
        <w:rPr>
          <w:rFonts w:ascii="Book Antiqua" w:eastAsia="Times New Roman" w:hAnsi="Book Antiqua" w:cs="Times New Roman"/>
          <w:sz w:val="24"/>
          <w:szCs w:val="24"/>
          <w:lang w:val="en" w:eastAsia="en-GB"/>
        </w:rPr>
        <w:t xml:space="preserve">ii. </w:t>
      </w:r>
      <w:r w:rsidR="003B6FC3" w:rsidRPr="0060224F">
        <w:rPr>
          <w:rFonts w:ascii="Book Antiqua" w:eastAsia="Times New Roman" w:hAnsi="Book Antiqua" w:cs="Times New Roman"/>
          <w:sz w:val="24"/>
          <w:szCs w:val="24"/>
          <w:lang w:val="en" w:eastAsia="en-GB"/>
        </w:rPr>
        <w:t>Whether</w:t>
      </w:r>
      <w:r w:rsidRPr="0060224F">
        <w:rPr>
          <w:rFonts w:ascii="Book Antiqua" w:eastAsia="Times New Roman" w:hAnsi="Book Antiqua" w:cs="Times New Roman"/>
          <w:sz w:val="24"/>
          <w:szCs w:val="24"/>
          <w:lang w:val="en" w:eastAsia="en-GB"/>
        </w:rPr>
        <w:t xml:space="preserve"> the </w:t>
      </w:r>
      <w:r w:rsidR="003B6FC3" w:rsidRPr="0060224F">
        <w:rPr>
          <w:rFonts w:ascii="Book Antiqua" w:eastAsia="Times New Roman" w:hAnsi="Book Antiqua" w:cs="Times New Roman"/>
          <w:sz w:val="24"/>
          <w:szCs w:val="24"/>
          <w:lang w:val="en" w:eastAsia="en-GB"/>
        </w:rPr>
        <w:t>maintenance</w:t>
      </w:r>
      <w:r w:rsidRPr="0060224F">
        <w:rPr>
          <w:rFonts w:ascii="Book Antiqua" w:eastAsia="Times New Roman" w:hAnsi="Book Antiqua" w:cs="Times New Roman"/>
          <w:sz w:val="24"/>
          <w:szCs w:val="24"/>
          <w:lang w:val="en" w:eastAsia="en-GB"/>
        </w:rPr>
        <w:t xml:space="preserve"> for the Wife should be paid during </w:t>
      </w:r>
      <w:r w:rsidR="003B6FC3" w:rsidRPr="0060224F">
        <w:rPr>
          <w:rFonts w:ascii="Book Antiqua" w:eastAsia="Times New Roman" w:hAnsi="Book Antiqua" w:cs="Times New Roman"/>
          <w:sz w:val="24"/>
          <w:szCs w:val="24"/>
          <w:lang w:val="en" w:eastAsia="en-GB"/>
        </w:rPr>
        <w:t>joint</w:t>
      </w:r>
      <w:r w:rsidRPr="0060224F">
        <w:rPr>
          <w:rFonts w:ascii="Book Antiqua" w:eastAsia="Times New Roman" w:hAnsi="Book Antiqua" w:cs="Times New Roman"/>
          <w:sz w:val="24"/>
          <w:szCs w:val="24"/>
          <w:lang w:val="en" w:eastAsia="en-GB"/>
        </w:rPr>
        <w:t xml:space="preserve"> lives or </w:t>
      </w:r>
      <w:r w:rsidR="003B6FC3" w:rsidRPr="0060224F">
        <w:rPr>
          <w:rFonts w:ascii="Book Antiqua" w:eastAsia="Times New Roman" w:hAnsi="Book Antiqua" w:cs="Times New Roman"/>
          <w:sz w:val="24"/>
          <w:szCs w:val="24"/>
          <w:lang w:val="en" w:eastAsia="en-GB"/>
        </w:rPr>
        <w:t>subject</w:t>
      </w:r>
      <w:r w:rsidRPr="0060224F">
        <w:rPr>
          <w:rFonts w:ascii="Book Antiqua" w:eastAsia="Times New Roman" w:hAnsi="Book Antiqua" w:cs="Times New Roman"/>
          <w:sz w:val="24"/>
          <w:szCs w:val="24"/>
          <w:lang w:val="en" w:eastAsia="en-GB"/>
        </w:rPr>
        <w:t xml:space="preserve"> to a term order ceasing when the children </w:t>
      </w:r>
      <w:r w:rsidR="003B6FC3" w:rsidRPr="0060224F">
        <w:rPr>
          <w:rFonts w:ascii="Book Antiqua" w:eastAsia="Times New Roman" w:hAnsi="Book Antiqua" w:cs="Times New Roman"/>
          <w:sz w:val="24"/>
          <w:szCs w:val="24"/>
          <w:lang w:val="en" w:eastAsia="en-GB"/>
        </w:rPr>
        <w:t>finished</w:t>
      </w:r>
      <w:r w:rsidRPr="0060224F">
        <w:rPr>
          <w:rFonts w:ascii="Book Antiqua" w:eastAsia="Times New Roman" w:hAnsi="Book Antiqua" w:cs="Times New Roman"/>
          <w:sz w:val="24"/>
          <w:szCs w:val="24"/>
          <w:lang w:val="en" w:eastAsia="en-GB"/>
        </w:rPr>
        <w:t xml:space="preserve"> their secondary education.    </w:t>
      </w:r>
    </w:p>
    <w:p w:rsidR="0060224F" w:rsidRDefault="0060224F" w:rsidP="0060224F">
      <w:pPr>
        <w:pStyle w:val="NoSpacing"/>
        <w:jc w:val="both"/>
        <w:rPr>
          <w:rFonts w:ascii="Book Antiqua" w:hAnsi="Book Antiqua"/>
          <w:sz w:val="24"/>
          <w:szCs w:val="24"/>
          <w:lang w:val="en"/>
        </w:rPr>
      </w:pPr>
    </w:p>
    <w:p w:rsidR="00B23D32" w:rsidRPr="0060224F" w:rsidRDefault="00B23D32" w:rsidP="0060224F">
      <w:pPr>
        <w:pStyle w:val="NoSpacing"/>
        <w:jc w:val="both"/>
        <w:rPr>
          <w:rFonts w:ascii="Book Antiqua" w:hAnsi="Book Antiqua"/>
          <w:sz w:val="24"/>
          <w:szCs w:val="24"/>
          <w:lang w:val="en"/>
        </w:rPr>
      </w:pPr>
      <w:r w:rsidRPr="0060224F">
        <w:rPr>
          <w:rFonts w:ascii="Book Antiqua" w:hAnsi="Book Antiqua"/>
          <w:sz w:val="24"/>
          <w:szCs w:val="24"/>
          <w:lang w:val="en"/>
        </w:rPr>
        <w:t xml:space="preserve">The wife’s case was that her training to be a teacher was not going to be viable given her child care commitments and that consequently, a "step-down" in spousal maintenance should not be made, nor should there be an overall term for maintenance. </w:t>
      </w:r>
      <w:r w:rsidRPr="0060224F">
        <w:rPr>
          <w:rFonts w:ascii="Book Antiqua" w:hAnsi="Book Antiqua"/>
          <w:sz w:val="24"/>
          <w:szCs w:val="24"/>
          <w:lang w:val="en"/>
        </w:rPr>
        <w:br/>
      </w:r>
      <w:r w:rsidRPr="0060224F">
        <w:rPr>
          <w:rFonts w:ascii="Book Antiqua" w:hAnsi="Book Antiqua"/>
          <w:sz w:val="24"/>
          <w:szCs w:val="24"/>
          <w:lang w:val="en"/>
        </w:rPr>
        <w:br/>
        <w:t xml:space="preserve">Holman J looked at whether she ‘would’ under s. 25 of the MCA 1973 be able to adjust without undue hardship at the end of a specific term. He said that it was ‘totally speculative’ to put a figure on what the Wife could be earning in three </w:t>
      </w:r>
      <w:r w:rsidR="003B6FC3" w:rsidRPr="0060224F">
        <w:rPr>
          <w:rFonts w:ascii="Book Antiqua" w:hAnsi="Book Antiqua"/>
          <w:sz w:val="24"/>
          <w:szCs w:val="24"/>
          <w:lang w:val="en"/>
        </w:rPr>
        <w:t>years’ time</w:t>
      </w:r>
      <w:r w:rsidRPr="0060224F">
        <w:rPr>
          <w:rFonts w:ascii="Book Antiqua" w:hAnsi="Book Antiqua"/>
          <w:sz w:val="24"/>
          <w:szCs w:val="24"/>
          <w:lang w:val="en"/>
        </w:rPr>
        <w:t xml:space="preserve">. The court decided that  maintenance should cease when the wife was aged 57 as she would have limited earning capacity; limited pension and would not receive the state pension until she was 67. </w:t>
      </w:r>
      <w:r w:rsidRPr="0060224F">
        <w:rPr>
          <w:rFonts w:ascii="Book Antiqua" w:hAnsi="Book Antiqua"/>
          <w:sz w:val="24"/>
          <w:szCs w:val="24"/>
          <w:lang w:val="en"/>
        </w:rPr>
        <w:br/>
        <w:t xml:space="preserve">Consequently, and despite the relatively short length of the marriage, the judge declined to make a term order. This was after </w:t>
      </w:r>
      <w:r w:rsidR="003B6FC3" w:rsidRPr="0060224F">
        <w:rPr>
          <w:rFonts w:ascii="Book Antiqua" w:hAnsi="Book Antiqua"/>
          <w:sz w:val="24"/>
          <w:szCs w:val="24"/>
          <w:lang w:val="en"/>
        </w:rPr>
        <w:t>considering</w:t>
      </w:r>
      <w:r w:rsidRPr="0060224F">
        <w:rPr>
          <w:rFonts w:ascii="Book Antiqua" w:hAnsi="Book Antiqua"/>
          <w:sz w:val="24"/>
          <w:szCs w:val="24"/>
          <w:lang w:val="en"/>
        </w:rPr>
        <w:t xml:space="preserve"> the </w:t>
      </w:r>
      <w:r w:rsidR="003B6FC3" w:rsidRPr="0060224F">
        <w:rPr>
          <w:rFonts w:ascii="Book Antiqua" w:hAnsi="Book Antiqua"/>
          <w:sz w:val="24"/>
          <w:szCs w:val="24"/>
          <w:lang w:val="en"/>
        </w:rPr>
        <w:t>material</w:t>
      </w:r>
      <w:r w:rsidRPr="0060224F">
        <w:rPr>
          <w:rFonts w:ascii="Book Antiqua" w:hAnsi="Book Antiqua"/>
          <w:sz w:val="24"/>
          <w:szCs w:val="24"/>
          <w:lang w:val="en"/>
        </w:rPr>
        <w:t xml:space="preserve"> change that the presence of the children made. </w:t>
      </w:r>
    </w:p>
    <w:p w:rsidR="00C64416" w:rsidRPr="0060224F" w:rsidRDefault="00C64416" w:rsidP="0060224F">
      <w:pPr>
        <w:pStyle w:val="NoSpacing"/>
        <w:jc w:val="both"/>
        <w:rPr>
          <w:rFonts w:ascii="Book Antiqua" w:hAnsi="Book Antiqua"/>
          <w:sz w:val="24"/>
          <w:szCs w:val="24"/>
        </w:rPr>
      </w:pPr>
    </w:p>
    <w:sectPr w:rsidR="00C64416" w:rsidRPr="0060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1922"/>
    <w:multiLevelType w:val="multilevel"/>
    <w:tmpl w:val="E8E0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FF56B9"/>
    <w:multiLevelType w:val="multilevel"/>
    <w:tmpl w:val="854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A0"/>
    <w:rsid w:val="000334FC"/>
    <w:rsid w:val="00097039"/>
    <w:rsid w:val="00097596"/>
    <w:rsid w:val="000C6650"/>
    <w:rsid w:val="000C68C9"/>
    <w:rsid w:val="00130314"/>
    <w:rsid w:val="00182CB4"/>
    <w:rsid w:val="001F2AA0"/>
    <w:rsid w:val="001F6FED"/>
    <w:rsid w:val="002451DE"/>
    <w:rsid w:val="0025052E"/>
    <w:rsid w:val="00263302"/>
    <w:rsid w:val="00332D27"/>
    <w:rsid w:val="003B6FC3"/>
    <w:rsid w:val="00430E43"/>
    <w:rsid w:val="00444C10"/>
    <w:rsid w:val="004571DB"/>
    <w:rsid w:val="004D6387"/>
    <w:rsid w:val="0053115C"/>
    <w:rsid w:val="0060224F"/>
    <w:rsid w:val="00685F49"/>
    <w:rsid w:val="00802803"/>
    <w:rsid w:val="00826704"/>
    <w:rsid w:val="00A51366"/>
    <w:rsid w:val="00B23D32"/>
    <w:rsid w:val="00C11F50"/>
    <w:rsid w:val="00C64416"/>
    <w:rsid w:val="00C658D3"/>
    <w:rsid w:val="00C87CCF"/>
    <w:rsid w:val="00D31988"/>
    <w:rsid w:val="00D53EBB"/>
    <w:rsid w:val="00EC7C29"/>
    <w:rsid w:val="00FD7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2AA0"/>
    <w:rPr>
      <w:b/>
      <w:bCs/>
    </w:rPr>
  </w:style>
  <w:style w:type="character" w:styleId="Emphasis">
    <w:name w:val="Emphasis"/>
    <w:basedOn w:val="DefaultParagraphFont"/>
    <w:uiPriority w:val="20"/>
    <w:qFormat/>
    <w:rsid w:val="001F2AA0"/>
    <w:rPr>
      <w:i/>
      <w:iCs/>
    </w:rPr>
  </w:style>
  <w:style w:type="character" w:customStyle="1" w:styleId="Heading1Char">
    <w:name w:val="Heading 1 Char"/>
    <w:basedOn w:val="DefaultParagraphFont"/>
    <w:link w:val="Heading1"/>
    <w:uiPriority w:val="9"/>
    <w:rsid w:val="00C6441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64416"/>
    <w:rPr>
      <w:color w:val="0000FF"/>
      <w:u w:val="single"/>
    </w:rPr>
  </w:style>
  <w:style w:type="paragraph" w:customStyle="1" w:styleId="hed">
    <w:name w:val="hed"/>
    <w:basedOn w:val="Normal"/>
    <w:rsid w:val="00C64416"/>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paragraph" w:customStyle="1" w:styleId="ind">
    <w:name w:val="ind"/>
    <w:basedOn w:val="Normal"/>
    <w:rsid w:val="00C64416"/>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C64416"/>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in3">
    <w:name w:val="in3"/>
    <w:basedOn w:val="Normal"/>
    <w:rsid w:val="00C64416"/>
    <w:pPr>
      <w:spacing w:before="100" w:beforeAutospacing="1" w:after="100" w:afterAutospacing="1" w:line="240" w:lineRule="auto"/>
      <w:ind w:left="1440"/>
    </w:pPr>
    <w:rPr>
      <w:rFonts w:ascii="Times New Roman" w:eastAsia="Times New Roman" w:hAnsi="Times New Roman" w:cs="Times New Roman"/>
      <w:sz w:val="24"/>
      <w:szCs w:val="24"/>
      <w:lang w:eastAsia="en-GB"/>
    </w:rPr>
  </w:style>
  <w:style w:type="paragraph" w:customStyle="1" w:styleId="jus">
    <w:name w:val="jus"/>
    <w:basedOn w:val="Normal"/>
    <w:rsid w:val="00C6441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4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C66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C6650"/>
    <w:rPr>
      <w:rFonts w:ascii="Arial" w:eastAsia="Times New Roman" w:hAnsi="Arial" w:cs="Arial"/>
      <w:vanish/>
      <w:sz w:val="16"/>
      <w:szCs w:val="16"/>
      <w:lang w:eastAsia="en-GB"/>
    </w:rPr>
  </w:style>
  <w:style w:type="paragraph" w:styleId="NoSpacing">
    <w:name w:val="No Spacing"/>
    <w:uiPriority w:val="1"/>
    <w:qFormat/>
    <w:rsid w:val="006022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2AA0"/>
    <w:rPr>
      <w:b/>
      <w:bCs/>
    </w:rPr>
  </w:style>
  <w:style w:type="character" w:styleId="Emphasis">
    <w:name w:val="Emphasis"/>
    <w:basedOn w:val="DefaultParagraphFont"/>
    <w:uiPriority w:val="20"/>
    <w:qFormat/>
    <w:rsid w:val="001F2AA0"/>
    <w:rPr>
      <w:i/>
      <w:iCs/>
    </w:rPr>
  </w:style>
  <w:style w:type="character" w:customStyle="1" w:styleId="Heading1Char">
    <w:name w:val="Heading 1 Char"/>
    <w:basedOn w:val="DefaultParagraphFont"/>
    <w:link w:val="Heading1"/>
    <w:uiPriority w:val="9"/>
    <w:rsid w:val="00C6441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64416"/>
    <w:rPr>
      <w:color w:val="0000FF"/>
      <w:u w:val="single"/>
    </w:rPr>
  </w:style>
  <w:style w:type="paragraph" w:customStyle="1" w:styleId="hed">
    <w:name w:val="hed"/>
    <w:basedOn w:val="Normal"/>
    <w:rsid w:val="00C64416"/>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paragraph" w:customStyle="1" w:styleId="ind">
    <w:name w:val="ind"/>
    <w:basedOn w:val="Normal"/>
    <w:rsid w:val="00C64416"/>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2">
    <w:name w:val="in2"/>
    <w:basedOn w:val="Normal"/>
    <w:rsid w:val="00C64416"/>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in3">
    <w:name w:val="in3"/>
    <w:basedOn w:val="Normal"/>
    <w:rsid w:val="00C64416"/>
    <w:pPr>
      <w:spacing w:before="100" w:beforeAutospacing="1" w:after="100" w:afterAutospacing="1" w:line="240" w:lineRule="auto"/>
      <w:ind w:left="1440"/>
    </w:pPr>
    <w:rPr>
      <w:rFonts w:ascii="Times New Roman" w:eastAsia="Times New Roman" w:hAnsi="Times New Roman" w:cs="Times New Roman"/>
      <w:sz w:val="24"/>
      <w:szCs w:val="24"/>
      <w:lang w:eastAsia="en-GB"/>
    </w:rPr>
  </w:style>
  <w:style w:type="paragraph" w:customStyle="1" w:styleId="jus">
    <w:name w:val="jus"/>
    <w:basedOn w:val="Normal"/>
    <w:rsid w:val="00C6441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4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C66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C6650"/>
    <w:rPr>
      <w:rFonts w:ascii="Arial" w:eastAsia="Times New Roman" w:hAnsi="Arial" w:cs="Arial"/>
      <w:vanish/>
      <w:sz w:val="16"/>
      <w:szCs w:val="16"/>
      <w:lang w:eastAsia="en-GB"/>
    </w:rPr>
  </w:style>
  <w:style w:type="paragraph" w:styleId="NoSpacing">
    <w:name w:val="No Spacing"/>
    <w:uiPriority w:val="1"/>
    <w:qFormat/>
    <w:rsid w:val="00602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4571">
      <w:bodyDiv w:val="1"/>
      <w:marLeft w:val="0"/>
      <w:marRight w:val="0"/>
      <w:marTop w:val="0"/>
      <w:marBottom w:val="0"/>
      <w:divBdr>
        <w:top w:val="none" w:sz="0" w:space="0" w:color="auto"/>
        <w:left w:val="none" w:sz="0" w:space="0" w:color="auto"/>
        <w:bottom w:val="none" w:sz="0" w:space="0" w:color="auto"/>
        <w:right w:val="none" w:sz="0" w:space="0" w:color="auto"/>
      </w:divBdr>
      <w:divsChild>
        <w:div w:id="520633813">
          <w:marLeft w:val="0"/>
          <w:marRight w:val="0"/>
          <w:marTop w:val="0"/>
          <w:marBottom w:val="0"/>
          <w:divBdr>
            <w:top w:val="none" w:sz="0" w:space="0" w:color="auto"/>
            <w:left w:val="none" w:sz="0" w:space="0" w:color="auto"/>
            <w:bottom w:val="none" w:sz="0" w:space="0" w:color="auto"/>
            <w:right w:val="none" w:sz="0" w:space="0" w:color="auto"/>
          </w:divBdr>
        </w:div>
      </w:divsChild>
    </w:div>
    <w:div w:id="1878621414">
      <w:bodyDiv w:val="1"/>
      <w:marLeft w:val="0"/>
      <w:marRight w:val="0"/>
      <w:marTop w:val="0"/>
      <w:marBottom w:val="0"/>
      <w:divBdr>
        <w:top w:val="none" w:sz="0" w:space="0" w:color="auto"/>
        <w:left w:val="none" w:sz="0" w:space="0" w:color="auto"/>
        <w:bottom w:val="none" w:sz="0" w:space="0" w:color="auto"/>
        <w:right w:val="none" w:sz="0" w:space="0" w:color="auto"/>
      </w:divBdr>
      <w:divsChild>
        <w:div w:id="1009792937">
          <w:marLeft w:val="0"/>
          <w:marRight w:val="0"/>
          <w:marTop w:val="0"/>
          <w:marBottom w:val="0"/>
          <w:divBdr>
            <w:top w:val="none" w:sz="0" w:space="0" w:color="auto"/>
            <w:left w:val="none" w:sz="0" w:space="0" w:color="auto"/>
            <w:bottom w:val="none" w:sz="0" w:space="0" w:color="auto"/>
            <w:right w:val="none" w:sz="0" w:space="0" w:color="auto"/>
          </w:divBdr>
        </w:div>
      </w:divsChild>
    </w:div>
    <w:div w:id="2105413528">
      <w:bodyDiv w:val="1"/>
      <w:marLeft w:val="0"/>
      <w:marRight w:val="0"/>
      <w:marTop w:val="0"/>
      <w:marBottom w:val="0"/>
      <w:divBdr>
        <w:top w:val="none" w:sz="0" w:space="0" w:color="auto"/>
        <w:left w:val="none" w:sz="0" w:space="0" w:color="auto"/>
        <w:bottom w:val="none" w:sz="0" w:space="0" w:color="auto"/>
        <w:right w:val="none" w:sz="0" w:space="0" w:color="auto"/>
      </w:divBdr>
      <w:divsChild>
        <w:div w:id="78407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2040</Words>
  <Characters>11634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Ben Mansfield</cp:lastModifiedBy>
  <cp:revision>2</cp:revision>
  <dcterms:created xsi:type="dcterms:W3CDTF">2014-11-20T09:55:00Z</dcterms:created>
  <dcterms:modified xsi:type="dcterms:W3CDTF">2014-11-20T09:55:00Z</dcterms:modified>
</cp:coreProperties>
</file>